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StromNZV — Bilanzkreis für Energien nach dem Erneuerbare-Energien-Gesetz</w:t>
      </w:r>
    </w:p>
    <w:p>
      <w:r>
        <w:rPr>
          <w:color w:val="555555"/>
          <w:sz w:val="18"/>
        </w:rPr>
        <w:t xml:space="preserve">Stromnetzzugangsverordnung</w:t>
      </w:r>
    </w:p>
    <w:p>
      <w:r>
        <w:rPr>
          <w:color w:val="555555"/>
          <w:sz w:val="18"/>
        </w:rPr>
        <w:t xml:space="preserve">Historische Fassung: Stand 10.06.2019 bis 01.01.2026. Dies ist nicht die aktuelle Fassung.</w:t>
      </w:r>
    </w:p>
    <w:p>
      <w:r>
        <w:t xml:space="preserve">Die Betreiber von Elektrizitätsversorgungsnetzen sind verpflichtet, einen Bilanzkreis zu führen, der ausschließlich Energien, die nach dem Erneuerbare-Energien-Gesetz mit einer Einspeisevergütung vergütet werden, von Einspeisern im Netzgebiet zur Durchleitung an den Bilanzkreis für Energien nach dem Erneuerbare-Energien-Gesetz der Betreiber von Übertragungsnetzen aufweist. Von der Verpflichtung nach Satz 1 sind Netzbetreiber ausgenommen, an deren Verteilernetz weniger als 100 000 Kunden unmittelbar oder mittelbar angeschlossen sind.</w:t>
      </w:r>
    </w:p>
    <w:p>
      <w:r>
        <w:rPr>
          <w:color w:val="555555"/>
          <w:sz w:val="17"/>
        </w:rPr>
        <w:t xml:space="preserve">Zitiervorschlag: § 11 StromNZV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https://recht.nulegal.eu/gesetze/StromNZV/11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