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StromNZV — Verlustenergie</w:t>
      </w:r>
    </w:p>
    <w:p>
      <w:r>
        <w:rPr>
          <w:color w:val="555555"/>
          <w:sz w:val="18"/>
        </w:rPr>
        <w:t xml:space="preserve">Stromnetzzugangsverordnung</w:t>
      </w:r>
    </w:p>
    <w:p>
      <w:r>
        <w:rPr>
          <w:color w:val="555555"/>
          <w:sz w:val="18"/>
        </w:rPr>
        <w:t xml:space="preserve">Historische Fassung: Stand 10.06.2019 bis 01.01.2026. Dies ist nicht die aktuelle Fassung.</w:t>
      </w:r>
    </w:p>
    <w:p>
      <w:r>
        <w:t xml:space="preserve">(1) Die Betreiber von Elektrizitätsversorgungsnetzen sind verpflichtet, Verlustenergie in einem marktorientierten, transparenten und diskriminierungsfreien Verfahren zu beschaffen. Dabei sind Ausschreibungsverfahren durchzuführen, soweit nicht wesentliche Gründe entgegenstehen. Ein wesentlicher Grund kann insbesondere dann vorliegen, wenn die Kosten der Ausschreibungsverfahren in einem unangemessenen Verhältnis zu deren Nutzen stehen. Von der Verpflichtung nach Satz 2 sind Netzbetreiber ausgenommen, an deren Verteilernetz weniger als 100.000 Kunden unmittelbar oder mittelbar angeschlossen sind.</w:t>
      </w:r>
    </w:p>
    <w:p>
      <w:r>
        <w:t xml:space="preserve">(2) Die Betreiber von Elektrizitätsversorgungsnetzen sind verpflichtet, einen Bilanzkreis zu führen, der ausschließlich den Ausgleich von Verlustenergie umfasst. Von der Verpflichtung nach Satz 1 sind Netzbetreiber ausgenommen, an deren Verteilernetz weniger als 100.000 Kunden unmittelbar oder mittelbar angeschlossen sind.</w:t>
      </w:r>
    </w:p>
    <w:p>
      <w:r>
        <w:rPr>
          <w:color w:val="555555"/>
          <w:sz w:val="17"/>
        </w:rPr>
        <w:t xml:space="preserve">Zitiervorschlag: § 10 StromNZV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https://recht.nulegal.eu/gesetze/StromNZV/10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