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StromNEV — Aufwandsgleiche Kostenpositionen</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Aufwandsgleiche Kostenpositionen sind den nach § 6b Absatz 3 des Energiewirtschaftsgesetzes oder nach § 4 Abs. 3 erstellten Gewinn- und Verlustrechnungen für die Elektrizitätsübertragung und Elektrizitätsverteilung zu entnehmen und nach Maßgabe des § 4 Abs. 1 bei der Bestimmung der Netzkosten zu berücksichtigen.</w:t>
      </w:r>
    </w:p>
    <w:p>
      <w:r>
        <w:t xml:space="preserve">(2) Fremdkapitalzinsen sind in ihrer tatsächlichen Höhe einzustellen, höchstens jedoch in der Höhe kapitalmarktüblicher Zinsen für vergleichbare Kreditaufnahmen.</w:t>
      </w:r>
    </w:p>
    <w:p>
      <w:r>
        <w:t xml:space="preserve">(3) Soweit Betreiber von Elektrizitätsverteilernetzen nach § 18 Zahlungen an Betreiber dezentraler Erzeugungsanlagen entrichten, sind die Zahlungen des letzten abgeschlossenen Geschäftsjahres als Kostenposition bei der Bestimmung der Netzkosten nach § 4 zu berücksichtigen.</w:t>
      </w:r>
    </w:p>
    <w:p>
      <w:r>
        <w:t xml:space="preserve">(4) Soweit Betreiber von Elektrizitätsversorgungsnetzen auf Grundlage einer Vereinbarung mit Städten oder Gemeinden oder Interessenverbänden der Städte und Gemeinden Zahlungen an Städte oder Gemeinden, auf deren Gebiet eine Freileitung auf neuer Trasse errichtet wird, entrichtet, sind die Zahlungen des letzten abgeschlossenen Geschäftsjahres nach Maßgabe des Satzes 2 als Kostenposition bei der Bestimmung der Netzkosten nach § 4 zu berücksichtigen. Eine Berücksichtigung nach Satz 1 ist nur für die Fälle des § 43 Absatz 1 Satz 1 Nummer 1 des Energiewirtschaftsgesetzes bei tatsächlicher Inbetriebnahme der Leitung und nur bis zu der angegebenen Höhe einmalig möglich:</w:t>
      </w:r>
    </w:p>
    <w:p>
      <w:pPr>
        <w:ind w:left="420"/>
      </w:pPr>
      <w:r>
        <w:t xml:space="preserve">1. Höchstspannungsfreileitungen ab 380 Kilovolt 40 000 Euro pro Kilometer;</w:t>
      </w:r>
    </w:p>
    <w:p>
      <w:pPr>
        <w:ind w:left="420"/>
      </w:pPr>
      <w:r>
        <w:t xml:space="preserve">2. Gleichstrom-Hochspannungsfreileitungen ab 300 Kilovolt 40 000 Euro pro Kilometer.</w:t>
      </w:r>
    </w:p>
    <w:p>
      <w:r>
        <w:rPr>
          <w:color w:val="555555"/>
          <w:sz w:val="17"/>
        </w:rPr>
        <w:t xml:space="preserve">Zitiervorschlag: § 5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