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32b StromNEV — Übergangsregelung für Kapitalkosten der Offshore-Anbindungsleitungen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10.08.2021 (konsolidierte Textfassung, kein amtliches Inkrafttretensdatum)</w:t>
      </w:r>
    </w:p>
    <w:p>
      <w:r>
        <w:t xml:space="preserve">Abweichend von § 3a Absatz 1 werden, soweit § 34 Absatz 13 und 14 der Anreizregulierungsverordnung dies regelt, auf die Ermittlung des Kapitalkostenanteils der Netzkosten von Offshore-Anbindungsleitungen ergänzend die Vorschriften der Anreizregulierungsverordnung in der bis zum 31. Juli 2021 geltenden Fassung angewendet, sofern</w:t>
      </w:r>
    </w:p>
    <w:p>
      <w:pPr>
        <w:ind w:left="420"/>
      </w:pPr>
      <w:r>
        <w:t xml:space="preserve">1. die Offshore-Anbindungsleitungen bis zum 31. Dezember 2019 fertiggestellt und in Betrieb genommen worden sind und</w:t>
      </w:r>
    </w:p>
    <w:p>
      <w:pPr>
        <w:ind w:left="420"/>
      </w:pPr>
      <w:r>
        <w:t xml:space="preserve">2. ein betroffener Übertragungsnetzbetreiber bis zum 30. April 2019 einheitlich auch für die mit ihm konzernrechtlich verbundenen Unternehmen, die Offshore-Anbindungsleitungen nach Nummer 1 betreiben, schriftlich oder elektronisch gegenüber der Bundesnetzagentur erklärt, dass er für alle betroffenen Offshore-Anbindungsleitungen diese Übergangsregelung in Anspruch nehmen möchte.</w:t>
      </w:r>
    </w:p>
    <w:p>
      <w:r>
        <w:rPr>
          <w:color w:val="555555"/>
          <w:sz w:val="17"/>
        </w:rPr>
        <w:t xml:space="preserve">Zitiervorschlag: § 32b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https://recht.nulegal.eu/gesetze/StromNEV/32b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