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StromNEV — Ordnungswidrigkeiten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Ordnungswidrig im Sinne des § 95 Abs. 1 Nr. 5 Buchstabe a des Energiewirtschaftsgesetzes handelt, wer vorsätzlich oder fahrlässig</w:t>
      </w:r>
    </w:p>
    <w:p>
      <w:pPr>
        <w:ind w:left="420"/>
      </w:pPr>
      <w:r>
        <w:t xml:space="preserve">1. einer vollziehbaren Anordnung nach § 65 Abs. 2 des Energiewirtschaftsgesetzes in Verbindung mit § 4 Abs. 4 Satz 4 oder 6, § 9 Abs. 3, § 12 Satz 4 oder 7 oder § 20 Abs. 2 zuwiderhandelt oder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einer vollziehbaren Anordnung nach § 65 Abs. 2 des Energiewirtschaftsgesetzes in Verbindung mit § 28 Abs. 1 Satz 1 zuwiderhandelt.</w:t>
      </w:r>
    </w:p>
    <w:p>
      <w:r>
        <w:rPr>
          <w:color w:val="555555"/>
          <w:sz w:val="17"/>
        </w:rPr>
        <w:t xml:space="preserve">Zitiervorschlag: § 31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