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StromNEV — Netzentgeltbildung bei Anreizregulierung</w:t>
      </w:r>
    </w:p>
    <w:p>
      <w:r>
        <w:rPr>
          <w:color w:val="555555"/>
          <w:sz w:val="18"/>
        </w:rPr>
        <w:t xml:space="preserve">Stromnetzentgeltverordnung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die Kosten einer Regulierung nach der Anreizregulierungsverordnung unterliegen, werden die Entgelte für den Zugang zu den Energieversorgungsnetzen aus den nach § 32 Absatz 1 Nummer 1 der Anreizregulierungsverordnung festgelegten Erlösobergrenzen ermittelt. Dies erfolgt entsprechend den Vorschriften der §§ 12 bis 20.</w:t>
      </w:r>
    </w:p>
    <w:p>
      <w:r>
        <w:t xml:space="preserve">(2) Der Netzbetreiber ist verpflichtet, bei einer Anpassung der Erlösobergrenze nach § 4 Absatz 3 bis 5 der Anreizregulierungsverordnung die Netzentgelte anzupassen, soweit sich daraus nach Absatz 1 eine Absenkung der Netzentgelte ergibt. Im Übrigen ist er bei einer Anpassung der Erlösobergrenzen nach § 4 Absatz 3 bis 5 zur Anpassung der Netzentgelte berechtigt.</w:t>
      </w:r>
    </w:p>
    <w:p>
      <w:r>
        <w:t xml:space="preserve">(3) Die Anpassung der Netzentgelte nach Absatz 2 erfolgt zum 1. Januar eines Kalenderjahres. Vorgelagerte Netzbetreiber haben die Höhe der geplanten Anpassung der Netzentgelte den nachgelagerten Netzbetreibern rechtzeitig vor dem Zeitpunkt nach Satz 1 mitzuteilen.</w:t>
      </w:r>
    </w:p>
    <w:p>
      <w:r>
        <w:rPr>
          <w:color w:val="555555"/>
          <w:sz w:val="17"/>
        </w:rPr>
        <w:t xml:space="preserve">Zitiervorschlag: § 21 StromNEV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https://recht.nulegal.eu/gesetze/StromNEV/21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