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StromNEV — Verprobung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(1) Netzbetreiber haben im Rahmen der Ermittlung der Netzentgelte sicherzustellen, dass ein zur Veröffentlichung anstehendes Entgeltsystem geeignet ist, die nach § 4 ermittelten Kosten zu decken. Satz 1 ist auch für die Betreiber von Übertragungsnetzen mit Regelzonenverantwortung in Bezug auf das bundeseinheitliche Übertragungsnetzentgelt nach Maßgabe des § 24 des Energiewirtschaftsgesetzes anzuwenden. Im Einzelnen ist sicherzustellen, dass die Anwendung</w:t>
      </w:r>
    </w:p>
    <w:p>
      <w:pPr>
        <w:ind w:left="420"/>
      </w:pPr>
      <w:r>
        <w:t xml:space="preserve">1. des Entgeltsystems auf die prognostizierte Absatzstruktur in ihrem Netzgebiet einen prognostizierten Erlös ergibt, welcher der Höhe nach den zu deckenden Kosten entspricht, und</w:t>
      </w:r>
    </w:p>
    <w:p>
      <w:pPr>
        <w:ind w:left="420"/>
      </w:pPr>
      <w:r>
        <w:t xml:space="preserve">2. der Entgelte für den Messstellenbetrieb auf die jeweiligen Entnahmestellen einen prognostizierten Erlös ergibt, der den zu deckenden Kosten des Messstellenbetriebs nach § 13 entspricht.</w:t>
      </w:r>
    </w:p>
    <w:p>
      <w:r>
        <w:t xml:space="preserve">(2) Die Verprobungen nach Absatz 1 sind vom Netzbetreiber in einer für sachkundige Dritte nachvollziehbaren Weise schriftlich zu dokumentieren und in den Bericht nach § 28 aufzunehmen. Die Betreiber von Übertragungsnetzen mit Regelzonenverantwortung haben darüber hinaus die Ermittlung der bundeseinheitlichen Übertragungsnetzentgelte zu dokumentieren und in den Bericht nach § 28 aufzunehmen.</w:t>
      </w:r>
    </w:p>
    <w:p>
      <w:r>
        <w:rPr>
          <w:color w:val="555555"/>
          <w:sz w:val="17"/>
        </w:rPr>
        <w:t xml:space="preserve">Zitiervorschlag: § 20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