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StromNEV — Gleichzeitigkeitsgrad</w:t>
      </w:r>
    </w:p>
    <w:p>
      <w:r>
        <w:rPr>
          <w:color w:val="555555"/>
          <w:sz w:val="18"/>
        </w:rPr>
        <w:t xml:space="preserve">Stromnetzentgeltverordnung</w:t>
      </w:r>
    </w:p>
    <w:p>
      <w:r>
        <w:rPr>
          <w:color w:val="555555"/>
          <w:sz w:val="18"/>
        </w:rPr>
        <w:t xml:space="preserve">Stand: 04.01.2024 (konsolidierte Textfassung, kein amtliches Inkrafttretensdatum)</w:t>
      </w:r>
    </w:p>
    <w:p>
      <w:r>
        <w:t xml:space="preserve">(1) Die Zuteilung der Kosten einer Netz- oder Umspannebene auf die aus dieser Netz- oder Umspannebene entnehmenden Netznutzer hat möglichst verursachungsgerecht zu erfolgen. Zu diesem Zweck werden zunächst für alle Netz- und Umspannebenen die spezifischen Jahreskosten gebildet. Die spezifischen Jahreskosten ergeben sich aus dem Quotienten aus den Jahreskosten einer Netz- oder Umspannebene nach § 14 Abs. 2 und der zeitgleichen Jahreshöchstlast aller Entnahmen aus dieser Netz- oder Umspannebene. Die Betreiber von Übertragungsnetzen mit Regelzonenverantwortung bestimmen zur Bildung des bundeseinheitlichen Übertragungsnetzentgelts die zeitgleichen gemeinsamen Jahreshöchstlasten auf Grundlage der Daten nach § 24 Absatz 7 des Energiewirtschaftsgesetzes.</w:t>
      </w:r>
    </w:p>
    <w:p>
      <w:r>
        <w:t xml:space="preserve">(2) Für die verursachungsgerechte Zuteilung der spezifischen Jahreskosten einer Netz- oder Umspannebene auf die Netzkunden dieser Netz- oder Umspannebene wird für alle Netz- und Umspannebenen jeweils eine Gleichzeitigkeitsfunktion nach Anlage 4 ermittelt. Die Betreiber von Übertragungsnetzen mit Regelzonenverantwortung ermitteln für die betroffene Netz- und die Umspannebene jeweils eine bundeseinheitliche Gleichzeitigkeitsfunktion nach Anlage 4.</w:t>
      </w:r>
    </w:p>
    <w:p>
      <w:r>
        <w:rPr>
          <w:color w:val="555555"/>
          <w:sz w:val="17"/>
        </w:rPr>
        <w:t xml:space="preserve">Zitiervorschlag: § 16 StromNEV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https://recht.nulegal.eu/gesetze/StromNEV/16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