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StromNEV — Grundsätze der Entgeltermittlung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(1) Grundlage des Systems der Entgeltbildung für den Netzzugang ist ein transaktionsunabhängiges Punktmodell. Die nach § 4 ermittelten Netzkosten werden über ein jährliches Netzentgelt gedeckt. Für die Einspeisung elektrischer Energie sind keine Netzentgelte zu entrichten.</w:t>
      </w:r>
    </w:p>
    <w:p>
      <w:r>
        <w:t xml:space="preserve">(2) Die Kalkulation der Netzentgelte ist so durchzuführen, dass nach dem Ende einer bevorstehenden Kalkulationsperiode die Differenz zwischen den aus Netzentgelten tatsächlich erzielten Erlösen und den nach § 4 ermittelten und in der bevorstehenden Kalkulationsperiode zu deckenden Netzkosten möglichst gering ist. Satz 1 ist auch auf die nach § 24 des Energiewirtschaftsgesetzes zu ermittelnden bundeseinheitlichen Übertragungsnetzentgelte anzuwenden.</w:t>
      </w:r>
    </w:p>
    <w:p>
      <w:r>
        <w:rPr>
          <w:color w:val="555555"/>
          <w:sz w:val="17"/>
        </w:rPr>
        <w:t xml:space="preserve">Zitiervorschlag: § 15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