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14c StromNEV — Ausgleich der Mehr- und Mindereinnahmen auf Grund bundeseinheitlicher Übertragungsnetzentgelte</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Die Betreiber von Übertragungsnetzen mit Regelzonenverantwortung haben Mehr- oder Mindereinnahmen, die sich auf Grund des bundeseinheitlichen Übertragungsnetzentgelts gegenüber ihren der Vereinheitlichung zugrunde liegenden Erlösobergrenzen nach § 14b Absatz 1 ergeben, untereinander auszugleichen.</w:t>
      </w:r>
    </w:p>
    <w:p>
      <w:r>
        <w:t xml:space="preserve">(2) Der Ausgleich nach Absatz 1 erfolgt auf Grundlage der prognostizierten Erlöse nach § 20 Absatz 1 Satz 3 Nummer 1, die sich aus den für das Folgejahr ermittelten bundeseinheitlichen Übertragungsnetzentgelten ergeben. Die Betreiber von Übertragungsnetzen mit Regelzonenverantwortung, die Mehreinnahmen erzielen, haben diese Mehreinnahmen durch Zahlungen in zwölf gleichen Raten bis spätestens zum 15. des jeweiligen Folgemonats anteilig an die Betreiber von Übertragungsnetzen mit Regelzonenverantwortung, die Mindereinnahmen erzielen, auszugleichen.</w:t>
      </w:r>
    </w:p>
    <w:p>
      <w:r>
        <w:t xml:space="preserve">(3) Durch die Ausgleichszahlungen nach Absatz 2 Satz 2 erlöschen jeweils insoweit die Ansprüche nach Absatz 1. Ein Abgleich auf Grundlage der tatsächlich erzielbaren Erlöse erfolgt nicht. Abweichungen zwischen den nach § 4 der Anreizregulierungsverordnung zulässigen Erlösen und den erzielbaren Erlösen werden unter Einbeziehung der erhaltenen oder geleisteten Ausgleichszahlungen unternehmensindividuell über das jeweilige Regulierungskonto nach § 5 der Anreizregulierungsverordnung des Betreibers von Übertragungsnetzen mit Regelzonenverantwortung ausgeglichen, bei dem sich eine Abweichung ergibt.</w:t>
      </w:r>
    </w:p>
    <w:p>
      <w:r>
        <w:rPr>
          <w:color w:val="555555"/>
          <w:sz w:val="17"/>
        </w:rPr>
        <w:t xml:space="preserve">Zitiervorschlag: § 14c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https://recht.nulegal.eu/gesetze/StromNEV/14c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