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StromNEV — Bildung bundeseinheitlicher Übertragungsnetzentgelte</w:t>
      </w:r>
    </w:p>
    <w:p>
      <w:r>
        <w:rPr>
          <w:color w:val="555555"/>
          <w:sz w:val="18"/>
        </w:rPr>
        <w:t xml:space="preserve">Stromnetzentgeltverordnung</w:t>
      </w:r>
    </w:p>
    <w:p>
      <w:r>
        <w:rPr>
          <w:color w:val="555555"/>
          <w:sz w:val="18"/>
        </w:rPr>
        <w:t xml:space="preserve">Stand: 10.06.2019 (konsolidierte Textfassung, kein amtliches Inkrafttretensdatum)</w:t>
      </w:r>
    </w:p>
    <w:p>
      <w:r>
        <w:t xml:space="preserve">Mit Wirkung zum 1. Januar 2023 haben die Betreiber von Übertragungsnetzen mit Regelzonenverantwortung bundeseinheitliche Netzentgelte zu bilden. Nicht vereinheitlicht werden die Entgelte für den Messstellenbetrieb und für singulär genutzte Betriebsmittel nach § 19 Absatz 3.</w:t>
      </w:r>
    </w:p>
    <w:p>
      <w:r>
        <w:rPr>
          <w:color w:val="555555"/>
          <w:sz w:val="17"/>
        </w:rPr>
        <w:t xml:space="preserve">Zitiervorschlag: § 14a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