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StromNEV — Periodenübergreifende Saldierung</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Sofern die Netzentgelte nicht im Wege der Anreizregulierung nach § 21a des Energiewirtschaftsgesetzes bestimmt werden, sind Betreiber von Elektrizitätsversorgungsnetzen verpflichtet, nach Abschluss einer Kalkulationsperiode die Differenz zwischen</w:t>
      </w:r>
    </w:p>
    <w:p>
      <w:pPr>
        <w:ind w:left="420"/>
      </w:pPr>
      <w:r>
        <w:t xml:space="preserve">1. den in dieser Kalkulationsperiode aus Netzentgelten erzielten Erlösen und</w:t>
      </w:r>
    </w:p>
    <w:p>
      <w:pPr>
        <w:ind w:left="420"/>
      </w:pPr>
      <w:r>
        <w:t xml:space="preserve">2. den für diese Kalkulationsperiode nach Abschnitt 1 des Teils 2 zu Grunde gelegten Netzkosten</w:t>
      </w:r>
    </w:p>
    <w:p>
      <w:r>
        <w:t xml:space="preserve">zu ermitteln. Liegen die Erlöse nach Satz 1 Nr. 1 über den Kosten nach Satz 1 Nr. 2, ist der Differenzbetrag zuzüglich einer Verzinsung des durchschnittlich gebundenen Betrages mit einem angemessenen Zinssatz kostenmindernd in Ansatz zu bringen. Liegen die Erlöse nach Satz 1 Nr. 1 unter den Kosten nach Satz 1 Nr. 2, kann der Differenzbetrag zuzüglich einer Verzinsung des durchschnittlichen Differenzbetrages mit einem angemessenen Zinssatz kostenerhöhend in Ansatz gebracht werden. Eine Saldierung erfolgt jeweils über die drei folgenden Kalkulationsperioden. Der durchschnittlich gebundene Betrag nach Satz 2 ist die Hälfte der Differenz aus den erzielten Erlösen nach Satz 1 Nr. 1 und den zu deckenden Kosten nach Satz 1 Nr. 2. Der durchschnittliche Differenzbetrag nach Satz 3 ist die Hälfte der Differenz aus den zu deckenden Kosten nach Satz 1 Nr. 2 und den erzielten Erlösen nach Satz 1 Nr. 1.</w:t>
      </w:r>
    </w:p>
    <w:p>
      <w:r>
        <w:rPr>
          <w:color w:val="555555"/>
          <w:sz w:val="17"/>
        </w:rPr>
        <w:t xml:space="preserve">Zitiervorschlag: § 11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