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StromNEV — Behandlung von Netzverlusten</w:t>
      </w:r>
    </w:p>
    <w:p>
      <w:r>
        <w:rPr>
          <w:color w:val="555555"/>
          <w:sz w:val="18"/>
        </w:rPr>
        <w:t xml:space="preserve">Stromnetzentgeltverordnung</w:t>
      </w:r>
    </w:p>
    <w:p>
      <w:r>
        <w:rPr>
          <w:color w:val="555555"/>
          <w:sz w:val="18"/>
        </w:rPr>
        <w:t xml:space="preserve">Stand: 10.06.2019 (konsolidierte Textfassung, kein amtliches Inkrafttretensdatum)</w:t>
      </w:r>
    </w:p>
    <w:p>
      <w:r>
        <w:t xml:space="preserve">(1) Die Kosten der Beschaffung von Energie zum Ausgleich physikalisch bedingter Netzverluste (Verlustenergie) können bei der Ermittlung der Netzkosten in Ansatz gebracht werden. Die Kostenposition ergibt sich aus den tatsächlichen Kosten der Beschaffung der entsprechenden Verlustenergie im abgelaufenen Kalenderjahr.</w:t>
      </w:r>
    </w:p>
    <w:p>
      <w:r>
        <w:t xml:space="preserve">(2) Die Höhe der Durchschnittsverluste je Netz- und Umspannebene des Vorjahres sowie die durchschnittlichen Beschaffungskosten der Verlustenergie im Vorjahr in Cent pro Kilowattstunde sind von Betreibern von Elektrizitätsversorgungsnetzen zum 1. April eines Jahres auf ihrer Internetseite zu veröffentlichen.</w:t>
      </w:r>
    </w:p>
    <w:p>
      <w:r>
        <w:rPr>
          <w:color w:val="555555"/>
          <w:sz w:val="17"/>
        </w:rPr>
        <w:t xml:space="preserve">Zitiervorschlag: § 10 StromNEV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https://recht.nulegal.eu/gesetze/StromNEV/10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