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StromNEV — Anwendungsbereich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Diese Verordnung regelt die Festlegung der Methode zur Bestimmung der Entgelte für den Zugang zu den Elektrizitätsübertragungs- und Elektrizitätsverteilernetzen (Netzentgelte) einschließlich der Ermittlung der Entgelte für dezentrale Einspeisungen. Diese Verordnung regelt zugleich</w:t>
      </w:r>
    </w:p>
    <w:p>
      <w:pPr>
        <w:ind w:left="420"/>
      </w:pPr>
      <w:r>
        <w:t xml:space="preserve">1. die Ermittlung der Netzkosten für die Errichtung und den Betrieb von Offshore-Anbindungsleitungen, die nach § 17f Absatz 1 Satz 2 des Energiewirtschaftsgesetzes umlagefähig sind, und</w:t>
      </w:r>
    </w:p>
    <w:p>
      <w:pPr>
        <w:ind w:left="420"/>
      </w:pPr>
      <w:r>
        <w:t xml:space="preserve">2. die Ermittlung der Netzkosten für die Errichtung und den Betrieb von grenzüberschreitenden Elektrizitätsverbindungsleitungen eines selbstständigen Betreibers, die nach Teil 3 Abschnitt 3a des Energiewirtschaftsgesetzes reguliert werden.</w:t>
      </w:r>
    </w:p>
    <w:p>
      <w:r>
        <w:rPr>
          <w:color w:val="555555"/>
          <w:sz w:val="17"/>
        </w:rPr>
        <w:t xml:space="preserve">Zitiervorschlag: § 1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