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StromGVV — Umfang der Grundversorgung</w:t>
      </w:r>
    </w:p>
    <w:p>
      <w:r>
        <w:rPr>
          <w:color w:val="555555"/>
          <w:sz w:val="18"/>
        </w:rPr>
        <w:t xml:space="preserve">Stromgrundversorgungsverordnung</w:t>
      </w:r>
    </w:p>
    <w:p>
      <w:r>
        <w:rPr>
          <w:color w:val="555555"/>
          <w:sz w:val="18"/>
        </w:rPr>
        <w:t xml:space="preserve">Stand: 01.12.2021 (konsolidierte Textfassung, kein amtliches Inkrafttretensdatum)</w:t>
      </w:r>
    </w:p>
    <w:p>
      <w:r>
        <w:t xml:space="preserve">(1) Der Grundversorger ist im Interesse des Kunden verpflichtet, die für die Durchführung der Grundversorgung erforderlichen Verträge mit Netzbetreibern und, soweit nicht nach § 1 Absatz 1 Satz 3 etwas anderes vereinbart ist, mit Messstellenbetreibern abzuschließen. Er hat die ihm möglichen Maßnahmen zu treffen, um dem Kunden am Ende des Netzanschlusses, zu dessen Nutzung der Kunde nach der Niederspannungsanschlussverordnung berechtigt ist, zu den jeweiligen Allgemeinen Preisen und Bedingungen Elektrizität zur Verfügung zu stellen. Die Elektrizität wird im Rahmen der Grundversorgung für die Zwecke des Letztverbrauchs geliefert.</w:t>
      </w:r>
    </w:p>
    <w:p>
      <w:r>
        <w:t xml:space="preserve">(2) Der Grundversorger ist verpflichtet, den Elektrizitätsbedarf des Kunden im Rahmen des § 36 des Energiewirtschaftsgesetzes zu befriedigen und für die Dauer des Grundversorgungsvertrages im vertraglich vorgesehenen Umfang nach Maßgabe des Absatzes 1 jederzeit Elektrizität zur Verfügung zu stellen. Dies gilt nicht,</w:t>
      </w:r>
    </w:p>
    <w:p>
      <w:pPr>
        <w:ind w:left="420"/>
      </w:pPr>
      <w:r>
        <w:t xml:space="preserve">1. soweit die Allgemeinen Preise oder Allgemeinen Bedingungen zeitliche Beschränkungen vorsehen,</w:t>
      </w:r>
    </w:p>
    <w:p>
      <w:pPr>
        <w:ind w:left="420"/>
      </w:pPr>
      <w:r>
        <w:t xml:space="preserve">2. soweit und solange der Netzbetreiber den Netzanschluss und die Anschlussnutzung nach § 17 der Niederspannungsanschlussverordnung oder § 24 Absatz 1, 2 und 5 der Niederspannungsanschlussverordnung unterbrochen hat oder</w:t>
      </w:r>
    </w:p>
    <w:p>
      <w:pPr>
        <w:ind w:left="420"/>
      </w:pPr>
      <w:r>
        <w:t xml:space="preserve">3. soweit und solange der Grundversorger an der Erzeugung, dem Bezug oder der vertragsgemäßen Lieferung von Elektrizität durch höhere Gewalt oder sonstige Umstände, deren Beseitigung ihm nicht möglich ist oder im Sinne des § 36 Absatz 1 Satz 3 des Energiewirtschaftsgesetzes wirtschaftlich nicht zugemutet werden kann, gehindert ist.</w:t>
      </w:r>
    </w:p>
    <w:p>
      <w:r>
        <w:t xml:space="preserve">(3) Bei einer Unterbrechung oder bei Unregelmäßigkeiten in der Elektrizitätsversorgung ist, soweit es sich um Folgen einer Störung des Netzbetriebs einschließlich des Netzanschlusses oder einer Störung des Messstellenbetriebes handelt, der Grundversorger von der Leistungspflicht befreit. Satz 1 gilt nicht, soweit die Unterbrechung auf nicht berechtigten Maßnahmen des Grundversorgers nach § 19 beruht. Der Grundversorger ist verpflichtet, seinen Kunden auf Verlangen unverzüglich über die mit der Schadensverursachung durch den Netzbetreiber oder den Messstellenbetreiber zusammenhängenden Tatsachen insoweit Auskunft zu geben, als sie ihm bekannt sind oder von ihm in zumutbarer Weise aufgeklärt werden können.</w:t>
      </w:r>
    </w:p>
    <w:p>
      <w:r>
        <w:rPr>
          <w:color w:val="555555"/>
          <w:sz w:val="17"/>
        </w:rPr>
        <w:t xml:space="preserve">Zitiervorschlag: § 6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