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StromGVV — Bedarfsdeckung</w:t>
      </w:r>
    </w:p>
    <w:p>
      <w:r>
        <w:rPr>
          <w:color w:val="555555"/>
          <w:sz w:val="18"/>
        </w:rPr>
        <w:t xml:space="preserve">Stromgrundversorgungsverordnung</w:t>
      </w:r>
    </w:p>
    <w:p>
      <w:r>
        <w:rPr>
          <w:color w:val="555555"/>
          <w:sz w:val="18"/>
        </w:rPr>
        <w:t xml:space="preserve">Stand: 10.06.2019 (konsolidierte Textfassung, kein amtliches Inkrafttretensdatum)</w:t>
      </w:r>
    </w:p>
    <w:p>
      <w:r>
        <w:t xml:space="preserve">Der Kunde ist für die Dauer des Grundversorgungsvertrages verpflichtet, seinen gesamten leitungsgebundenen Elektrizitätsbedarf aus den Elektrizitätslieferungen des Grundversorgers zu decken. Ausgenommen ist die Bedarfsdeckung durch Eigenanlagen der Kraft-Wärme-Kopplung bis 50 Kilowatt elektrischer Leistung und aus Erneuerbaren Energien; ferner durch Eigenanlagen, die ausschließlich der Sicherstellung des Elektrizitätsbedarfs bei Aussetzen der Grundversorgung dienen (Notstromaggregate). Notstromaggregate dürfen außerhalb ihrer eigentlichen Bestimmungen nicht mehr als 15 Stunden monatlich zur Erprobung betrieben werden.</w:t>
      </w:r>
    </w:p>
    <w:p>
      <w:r>
        <w:rPr>
          <w:color w:val="555555"/>
          <w:sz w:val="17"/>
        </w:rPr>
        <w:t xml:space="preserve">Zitiervorschlag: § 4 StromGVV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https://recht.nulegal.eu/gesetze/StromGVV/4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