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StromGVV — Ersatzversorgung</w:t>
      </w:r>
    </w:p>
    <w:p>
      <w:r>
        <w:rPr>
          <w:color w:val="555555"/>
          <w:sz w:val="18"/>
        </w:rPr>
        <w:t xml:space="preserve">Stromgrundversorgungsverordnung</w:t>
      </w:r>
    </w:p>
    <w:p>
      <w:r>
        <w:rPr>
          <w:color w:val="555555"/>
          <w:sz w:val="18"/>
        </w:rPr>
        <w:t xml:space="preserve">Stand: 30.07.2022 (konsolidierte Textfassung, kein amtliches Inkrafttretensdatum)</w:t>
      </w:r>
    </w:p>
    <w:p>
      <w:r>
        <w:t xml:space="preserve">(1) Für die Ersatzversorgung nach § 38 des Energiewirtschaftsgesetzes gelten § 2 Absatz 3 Satz 4, die §§ 4, 5 Absatz 1, die §§ 5a bis 8, 10 bis 19 und 22 sowie für die Beendigung der Ersatzversorgung nach § 38 Absatz 4 Satz 1 des Energiewirtschaftsgesetzes § 20 Absatz 3 entsprechend; § 11 Absatz 2 gilt mit der Maßgabe, dass der Grundversorger den Energieverbrauch auf Grund einer rechnerischen Abgrenzung schätzen und den anteiligen Verbrauch in Rechnung stellen darf.</w:t>
      </w:r>
    </w:p>
    <w:p>
      <w:r>
        <w:t xml:space="preserve">(2) Der Grundversorger hat dem Kunden unverzüglich nach Kenntnisnahme den Zeitpunkt des Beginns und des Endes der Ersatzversorgung in Textform mitzuteilen. Dabei hat er ebenfalls mitzuteilen, dass spätestens nach dem Ende der Ersatzversorgung zur Fortsetzung des Elektrizitätsbezugs der Abschluss eines Bezugsvertrages durch den Kunden erforderlich ist; auf § 2 Absatz 2 ist hinzuweisen.</w:t>
      </w:r>
    </w:p>
    <w:p>
      <w:r>
        <w:rPr>
          <w:color w:val="555555"/>
          <w:sz w:val="17"/>
        </w:rPr>
        <w:t xml:space="preserve">Zitiervorschlag: § 3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