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StromGVV — Gerichtsstand</w:t>
      </w:r>
    </w:p>
    <w:p>
      <w:r>
        <w:rPr>
          <w:color w:val="555555"/>
          <w:sz w:val="18"/>
        </w:rPr>
        <w:t xml:space="preserve">Stromgrundversorgungsverordnung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Gerichtsstand für die beiderseitigen Verpflichtungen aus dem Grundversorgungsvertrag ist der Ort der Elektrizitätsabnahme durch den Kunden.</w:t>
      </w:r>
    </w:p>
    <w:p>
      <w:r>
        <w:rPr>
          <w:color w:val="555555"/>
          <w:sz w:val="17"/>
        </w:rPr>
        <w:t xml:space="preserve">Zitiervorschlag: § 22 StromGVV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https://recht.nulegal.eu/gesetze/StromGVV/22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