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StromGVV — Rechnungen und Abschläge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Vordrucke für Rechnungen und Abschläge müssen einfach verständlich sein. Für Rechnungen und Abschläge ist § 40 Absatz 1 bis 4 des Energiewirtschaftsgesetzes maßgeblich.</w:t>
      </w:r>
    </w:p>
    <w:p>
      <w:r>
        <w:t xml:space="preserve">(2) Der Grundversorger hat in den ergänzenden Bedingungen mindestens zwei mögliche Zahlungsweisen anzugeben. Für die anzugebenden Zahlungsweisen ist § 41 Absatz 2 Satz 2 und 3 des Energiewirtschaftsgesetzes anzuwenden.</w:t>
      </w:r>
    </w:p>
    <w:p>
      <w:r>
        <w:rPr>
          <w:color w:val="555555"/>
          <w:sz w:val="17"/>
        </w:rPr>
        <w:t xml:space="preserve">Zitiervorschlag: § 16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