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StromGVV — Abrechnung</w:t>
      </w:r>
    </w:p>
    <w:p>
      <w:r>
        <w:rPr>
          <w:color w:val="555555"/>
          <w:sz w:val="18"/>
        </w:rPr>
        <w:t xml:space="preserve">Stromgrundversorgungsverordnung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Der Elektrizitätsverbrauch wird nach Maßgabe des § 40b Absatz 1 des Energiewirtschaftsgesetzes abgerechnet.</w:t>
      </w:r>
    </w:p>
    <w:p>
      <w:r>
        <w:t xml:space="preserve">(2) Ändern sich innerhalb eines Abrechnungszeitraums die verbrauchsabhängigen Preise, so wird der für die neuen Preise maßgebliche Verbrauch zeitanteilig berechnet; jahreszeitliche Verbrauchsschwankungen sind auf der Grundlage der für Haushaltskunden maßgeblichen Erfahrungswerte angemessen zu berücksichtigen. Entsprechendes gilt bei Änderung des Umsatzsteuersatzes und erlösabhängiger Abgabensätze.</w:t>
      </w:r>
    </w:p>
    <w:p>
      <w:r>
        <w:t xml:space="preserve">(3) Im Falle einer Belieferung nach § 2 Absatz 2 ist entsprechend Absatz 2 Satz 1 eine pauschale zeitanteilige Berechnung des Verbrauchs zulässig, es sei denn, der Kunde kann einen geringeren als den von dem Grundversorger angesetzten Verbrauch nachweisen.</w:t>
      </w:r>
    </w:p>
    <w:p>
      <w:r>
        <w:rPr>
          <w:color w:val="555555"/>
          <w:sz w:val="17"/>
        </w:rPr>
        <w:t xml:space="preserve">Zitiervorschlag: § 12 StromGVV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https://recht.nulegal.eu/gesetze/StromGVV/12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