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StromGVV — Verbrauchsermittlung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Für die Ermittlung des Verbrauchs für Zwecke der Abrechnung ist § 40a des Energiewirtschaftsgesetzes anzuwenden.</w:t>
      </w:r>
    </w:p>
    <w:p>
      <w:r>
        <w:t xml:space="preserve">(2) Der Grundversorger kann den Verbrauch nach Absatz 1 auch ermitteln, wenn dies</w:t>
      </w:r>
    </w:p>
    <w:p>
      <w:pPr>
        <w:ind w:left="420"/>
      </w:pPr>
      <w:r>
        <w:t xml:space="preserve">1. zum Zwecke einer Abrechnung nach § 12 Absatz 1,</w:t>
      </w:r>
    </w:p>
    <w:p>
      <w:pPr>
        <w:ind w:left="420"/>
      </w:pPr>
      <w:r>
        <w:t xml:space="preserve">2. anlässlich eines Lieferantenwechsels oder</w:t>
      </w:r>
    </w:p>
    <w:p>
      <w:pPr>
        <w:ind w:left="420"/>
      </w:pPr>
      <w:r>
        <w:t xml:space="preserve">3. bei einem berechtigten Interesse des Grundversorgers an einer Überprüfung der Ablesung</w:t>
      </w:r>
    </w:p>
    <w:p>
      <w:r>
        <w:t xml:space="preserve">erfolgt.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11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