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StromBGebV — Auslagenerhebung</w:t>
      </w:r>
    </w:p>
    <w:p>
      <w:r>
        <w:rPr>
          <w:color w:val="555555"/>
          <w:sz w:val="18"/>
        </w:rPr>
        <w:t xml:space="preserve">Besondere Gebührenverordnung Strom</w:t>
      </w:r>
    </w:p>
    <w:p>
      <w:r>
        <w:rPr>
          <w:color w:val="555555"/>
          <w:sz w:val="18"/>
        </w:rPr>
        <w:t xml:space="preserve">Stand: 24.05.2022 (konsolidierte Textfassung, kein amtliches Inkrafttretensdatum)</w:t>
      </w:r>
    </w:p>
    <w:p>
      <w:r>
        <w:t xml:space="preserve">Auslagen werden nach § 12 Absatz 1 Satz 1 des Bundesgebührengesetzes gesondert erhoben.</w:t>
      </w:r>
    </w:p>
    <w:p>
      <w:r>
        <w:rPr>
          <w:color w:val="555555"/>
          <w:sz w:val="17"/>
        </w:rPr>
        <w:t xml:space="preserve">Zitiervorschlag: § 2 StromBGebV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https://recht.nulegal.eu/gesetze/StromBGebV/2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