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StromBGebV — Gebührenerhebung</w:t>
      </w:r>
    </w:p>
    <w:p>
      <w:r>
        <w:rPr>
          <w:color w:val="555555"/>
          <w:sz w:val="18"/>
        </w:rPr>
        <w:t xml:space="preserve">Besondere Gebührenverordnung Strom</w:t>
      </w:r>
    </w:p>
    <w:p>
      <w:r>
        <w:rPr>
          <w:color w:val="555555"/>
          <w:sz w:val="18"/>
        </w:rPr>
        <w:t xml:space="preserve">Stand: 31.01.2023 (konsolidierte Textfassung, kein amtliches Inkrafttretensdatum)</w:t>
      </w:r>
    </w:p>
    <w:p>
      <w:r>
        <w:t xml:space="preserve">(1) Für individuell zurechenbare öffentliche Leistungen nach Teil 2 Abschnitt 2 und den Teilen 3 und 5 des Windenergie-auf-See-Gesetzes erhebt die Bundesnetzagentur Gebühren nach dem Gebührenverzeichnis der Anlage.</w:t>
      </w:r>
    </w:p>
    <w:p>
      <w:r>
        <w:t xml:space="preserve">(2) Für individuell zurechenbare öffentliche Leistungen nach den Teilen 4 und 5 des Windenergie-auf-See-Gesetzes erhebt das Bundesamt für Seeschifffahrt und Hydrographie Gebühren nach dem Gebührenverzeichnis der Anlage.</w:t>
      </w:r>
    </w:p>
    <w:p>
      <w:r>
        <w:rPr>
          <w:color w:val="555555"/>
          <w:sz w:val="17"/>
        </w:rPr>
        <w:t xml:space="preserve">Zitiervorschlag: § 1 StromBGebV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https://recht.nulegal.eu/gesetze/StromBGebV/1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