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StrlZV (Brandenburg) — In-Kraft-Treten, Außer-Kraft-Treten</w:t>
      </w:r>
    </w:p>
    <w:p>
      <w:r>
        <w:rPr>
          <w:color w:val="555555"/>
          <w:sz w:val="18"/>
        </w:rPr>
        <w:t xml:space="preserve">Strahlenschutzzuständigkeitsverordnung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Mit In-Kraft-Treten dieser Verordnung treten die Nummern 4 bis 9 der Anlage zur Immissionsschutzzuständigkeitsverordnung in der Fassung der Bekanntmachung vom 29. Mai 1997 ( GVBl. II S. 686), zuletzt geändert durch Artikel 5 des Gesetzes vom 8. Oktober 2001 (GVBl. I S. 146, 148) sowie durch Artikel 7 des Gesetzes vom 18. Dezember 2001 (GVBl. I S. 282, 284), außer Kraft.</w:t>
      </w:r>
    </w:p>
    <w:p>
      <w:r>
        <w:rPr>
          <w:color w:val="555555"/>
          <w:sz w:val="17"/>
        </w:rPr>
        <w:t xml:space="preserve">Zitiervorschlag: § 4 StrlZV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