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StrlZV (Brandenburg) — Übertragung einer Ermächtigung zum Erlass von Rechtsverordnungen</w:t>
      </w:r>
    </w:p>
    <w:p>
      <w:r>
        <w:rPr>
          <w:color w:val="555555"/>
          <w:sz w:val="18"/>
        </w:rPr>
        <w:t xml:space="preserve">Strahlenschutzzuständigkeitsverordnung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 Ermächtigung zum Erlass von Rechtsverordnungen nach § 36 Abs. 2 Satz 1 des Gesetzes über Ordnungswidrigkeiten wird gemäß § 36 Abs. 2 Satz 2 des Gesetzes über Ordnungswidrigkeiten für den Strahlenschutz auf das für Atomaufsicht und Strahlenschutz zuständige Mitglied der Landesregierung übertragen.</w:t>
      </w:r>
    </w:p>
    <w:p>
      <w:r>
        <w:rPr>
          <w:color w:val="555555"/>
          <w:sz w:val="17"/>
        </w:rPr>
        <w:t xml:space="preserve">Zitiervorschlag: § 2 StrlZV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