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StrlSchV 2018 — Aufbewahrung und Bereithalten von Unterlagen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bei genehmigungsbedürftigen Tätigkeiten nach § 12 Absatz 1 des Strahlenschutzgesetzes eine Ausfertigung des Genehmigungsbescheides dauerhaft aufbewahrt wird.</w:t>
      </w:r>
    </w:p>
    <w:p>
      <w:r>
        <w:t xml:space="preserve">(2) Der Strahlenschutzverantwortliche hat auch dafür zu sorgen, dass die Betriebsanleitung bereitgehalten wird bei</w:t>
      </w:r>
    </w:p>
    <w:p>
      <w:pPr>
        <w:ind w:left="420"/>
      </w:pPr>
      <w:r>
        <w:t xml:space="preserve">1. Anlagen zur Erzeugung ionisierender Strahlung,</w:t>
      </w:r>
    </w:p>
    <w:p>
      <w:pPr>
        <w:ind w:left="420"/>
      </w:pPr>
      <w:r>
        <w:t xml:space="preserve">2. Röntgeneinrichtungen,</w:t>
      </w:r>
    </w:p>
    <w:p>
      <w:pPr>
        <w:ind w:left="420"/>
      </w:pPr>
      <w:r>
        <w:t xml:space="preserve">3. Störstrahlern und</w:t>
      </w:r>
    </w:p>
    <w:p>
      <w:pPr>
        <w:ind w:left="420"/>
      </w:pPr>
      <w:r>
        <w:t xml:space="preserve">4. Vorrichtungen oder Geräten, die umschlossene radioaktive Stoffe enthalten.</w:t>
      </w:r>
    </w:p>
    <w:p>
      <w:r>
        <w:t xml:space="preserve">(3) Der Strahlenschutzverantwortliche hat außerdem dafür zu sorgen, dass Folgendes bereitgehalten wird:</w:t>
      </w:r>
    </w:p>
    <w:p>
      <w:pPr>
        <w:ind w:left="420"/>
      </w:pPr>
      <w:r>
        <w:t xml:space="preserve">1. bei genehmigungsbedürftigen Anlagen zur Erzeugung ionisierender Strahlung der letzte Prüfbericht nach § 88 Absatz 1 Satz 1 Nummer 1 Buchstabe b,</w:t>
      </w:r>
    </w:p>
    <w:p>
      <w:pPr>
        <w:ind w:left="420"/>
      </w:pPr>
      <w:r>
        <w:t xml:space="preserve">2. bei anzeigebedürftigen Anlagen zur Erzeugung ionisierender Strahlung der letzte Prüfbericht nach § 88 Absatz 5,</w:t>
      </w:r>
    </w:p>
    <w:p>
      <w:pPr>
        <w:ind w:left="420"/>
      </w:pPr>
      <w:r>
        <w:t xml:space="preserve">3. bei Bestrahlungsvorrichtungen und Geräten für die Gammaradiographie jeweils der letzte Prüfbericht nach § 88 Absatz 1 Satz 1 Nummer 1 Buchstabe b und § 89 Absatz 1,</w:t>
      </w:r>
    </w:p>
    <w:p>
      <w:pPr>
        <w:ind w:left="420"/>
      </w:pPr>
      <w:r>
        <w:t xml:space="preserve">4. bei genehmigungsbedürftigen Röntgeneinrichtungen der letzte Prüfbericht nach § 88 Absatz 4 Nummer 1,</w:t>
      </w:r>
    </w:p>
    <w:p>
      <w:pPr>
        <w:ind w:left="420"/>
      </w:pPr>
      <w:r>
        <w:t xml:space="preserve">5. bei anzeigebedürftigen Röntgeneinrichtungen</w:t>
      </w:r>
    </w:p>
    <w:p>
      <w:pPr>
        <w:ind w:left="780"/>
      </w:pPr>
      <w:r>
        <w:t xml:space="preserve">a) die Bescheinigung eines behördlich bestimmten Sachverständigen nach § 19 Absatz 3 Satz 1 Nummer 1 des Strahlenschutzgesetzes,</w:t>
      </w:r>
    </w:p>
    <w:p>
      <w:pPr>
        <w:ind w:left="780"/>
      </w:pPr>
      <w:r>
        <w:t xml:space="preserve">b) der letzte Prüfbericht nach § 88 Absatz 4 Nummer 1 und</w:t>
      </w:r>
    </w:p>
    <w:p>
      <w:pPr>
        <w:ind w:left="780"/>
      </w:pPr>
      <w:r>
        <w:t xml:space="preserve">c) die Bescheinigungen über Sachverständigenprüfungen nach wesentlichen Änderungen des Betriebes der Röntgeneinrichtung und</w:t>
      </w:r>
    </w:p>
    <w:p>
      <w:pPr>
        <w:ind w:left="420"/>
      </w:pPr>
      <w:r>
        <w:t xml:space="preserve">6. bei genehmigungsbedürftigen Störstrahlern der letzte Prüfbericht nach § 88 Absatz 5.</w:t>
      </w:r>
    </w:p>
    <w:p>
      <w:r>
        <w:rPr>
          <w:color w:val="555555"/>
          <w:sz w:val="17"/>
        </w:rPr>
        <w:t xml:space="preserve">Zitiervorschlag: § 97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