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96 StrlSchV 2018 — Überlassen von Störstrahlern</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Hersteller und der Einführer dürfen einem anderen einen Störstrahler zum genehmigungsfreien Betrieb nur überlassen, wenn dieser den in Anlage 3 Teil D Nummer 1 bis 3 genannten Voraussetzungen entsprechend beschaffen ist.</w:t>
      </w:r>
    </w:p>
    <w:p>
      <w:r>
        <w:t xml:space="preserve">(2) Der Hersteller und der Einführer dürfen einem anderen einen Störstrahler, dessen Betrieb genehmigungsbedürftig ist, nur überlassen, wenn der Störstrahler einen deutlich sichtbaren Hinweis auf die Genehmigungsbedürftigkeit enthält.</w:t>
      </w:r>
    </w:p>
    <w:p>
      <w:r>
        <w:t xml:space="preserve">(3) Die zuständige Behörde kann zum Schutz Einzelner oder der Allgemeinheit anordnen, dass der Hersteller oder Einführer die für den Strahlenschutz wesentlichen Merkmale eines Störstrahlers, der genehmigungsfrei betrieben werden darf und der nicht bauartzugelassen ist, prüfen lässt, bevor er den Störstrahler einem anderen überlässt.</w:t>
      </w:r>
    </w:p>
    <w:p>
      <w:r>
        <w:rPr>
          <w:color w:val="555555"/>
          <w:sz w:val="17"/>
        </w:rPr>
        <w:t xml:space="preserve">Zitiervorschlag: § 96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