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StrlSchV 2018 — Entfernen von Kennzeichnungen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Der Strahlenschutzverantwortliche hat dafür zu sorgen, dass Kennzeichnungen nach § 91 Absatz 1 von Gegenständen entfernt werden, die gemäß § 58 Absatz 2 Satz 1 aus Strahlenschutzbereichen herausgebracht worden sind.</w:t>
      </w:r>
    </w:p>
    <w:p>
      <w:r>
        <w:t xml:space="preserve">(2) Der Strahlenschutzverantwortliche, der Inhaber der Freigabe nach § 33 Absatz 1 ist, hat dafür zu sorgen, dass nach einer Freigabe nach § 31 Absatz 1 Kennzeichnungen nach § 91 Absatz 1 entfernt werden.</w:t>
      </w:r>
    </w:p>
    <w:p>
      <w:r>
        <w:t xml:space="preserve">(3) Der Strahlenschutzverantwortliche hat dafür zu sorgen, dass im Fall einer Ausnahme von der Pflicht zur Freigabe von Stoffen und Gegenständen gemäß § 31 Absatz 5 Satz 1 Kennzeichnungen nach § 91 Absatz 1 entfernt werden.</w:t>
      </w:r>
    </w:p>
    <w:p>
      <w:r>
        <w:rPr>
          <w:color w:val="555555"/>
          <w:sz w:val="17"/>
        </w:rPr>
        <w:t xml:space="preserve">Zitiervorschlag: § 93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