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StrlSchV 2018 — Besondere Kennzeichnungspflichten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w:t>
      </w:r>
    </w:p>
    <w:p>
      <w:pPr>
        <w:ind w:left="420"/>
      </w:pPr>
      <w:r>
        <w:t xml:space="preserve">1. eine hochradioaktive Strahlenquelle, soweit technisch möglich, und ihre Schutzbehälter oder Aufbewahrungsbehältnisse bei der Herstellung zusätzlich zur Kennzeichnung mit dem Strahlenzeichen nach Anlage 10 sichtbar und dauerhaft mit einer unverwechselbaren Identifizierungsnummer gekennzeichnet werden und</w:t>
      </w:r>
    </w:p>
    <w:p>
      <w:pPr>
        <w:ind w:left="420"/>
      </w:pPr>
      <w:r>
        <w:t xml:space="preserve">2. die aufgebrachte Identifizierungsnummer dem Bundesamt für Strahlenschutz innerhalb Monatsfrist mitgeteilt wird.</w:t>
      </w:r>
    </w:p>
    <w:p>
      <w:r>
        <w:t xml:space="preserve">Ist die zusätzliche Kennzeichnung der hochradioaktiven Strahlenquelle technisch nicht möglich oder werden wiederverwendbare Schutzbehälter oder Aufbewahrungsbehältnisse verwendet, so sind diese neben der Kennzeichnung mit dem Strahlenzeichen zusätzlich mit der Angabe „hochradioaktive Strahlenquelle“ zu versehen.</w:t>
      </w:r>
    </w:p>
    <w:p>
      <w:r>
        <w:t xml:space="preserve">(2) Der Strahlenschutzverantwortliche hat dafür zu sorgen, dass alle Vorratsbehälter, die offene radioaktive Stoffe enthalten, deren Aktivität das 104fache der Werte der Anlage 4 Tabelle 1 Spalte 2 überschreitet, so gekennzeichnet werden, dass folgende Einzelheiten feststellbar sind:</w:t>
      </w:r>
    </w:p>
    <w:p>
      <w:pPr>
        <w:ind w:left="420"/>
      </w:pPr>
      <w:r>
        <w:t xml:space="preserve">1. Radionuklid,</w:t>
      </w:r>
    </w:p>
    <w:p>
      <w:pPr>
        <w:ind w:left="420"/>
      </w:pPr>
      <w:r>
        <w:t xml:space="preserve">2. chemische Verbindung,</w:t>
      </w:r>
    </w:p>
    <w:p>
      <w:pPr>
        <w:ind w:left="420"/>
      </w:pPr>
      <w:r>
        <w:t xml:space="preserve">3. Tag der Abfüllung,</w:t>
      </w:r>
    </w:p>
    <w:p>
      <w:pPr>
        <w:ind w:left="420"/>
      </w:pPr>
      <w:r>
        <w:t xml:space="preserve">4. Aktivität am Tag der Abfüllung oder an einem daneben besonders zu bezeichnenden Stichtag,</w:t>
      </w:r>
    </w:p>
    <w:p>
      <w:pPr>
        <w:ind w:left="420"/>
      </w:pPr>
      <w:r>
        <w:t xml:space="preserve">5. Strahlenschutzverantwortlicher zum Zeitpunkt der Abfüllung und</w:t>
      </w:r>
    </w:p>
    <w:p>
      <w:pPr>
        <w:ind w:left="420"/>
      </w:pPr>
      <w:r>
        <w:t xml:space="preserve">6. Name desjenigen, der die radioaktiven Stoffe abgefüllt hat.</w:t>
      </w:r>
    </w:p>
    <w:p>
      <w:r>
        <w:t xml:space="preserve">Kennnummern, Zeichen und sonstige Abkürzungen dürfen dabei nur verwendet werden, wenn diese allgemein bekannt oder ohne weiteres aus der Buchführung nach § 85 Absatz 1 Satz 1 Nummer 2 zu entnehmen sind.</w:t>
      </w:r>
    </w:p>
    <w:p>
      <w:r>
        <w:t xml:space="preserve">(3) Für Vorrichtungen, die umschlossene radioaktive Stoffe oder festhaftend in offener Form enthalten, deren Aktivität die Werte der Anlage 4 Tabelle 1 Spalte 4 überschreitet, gilt Absatz 2 entsprechend.</w:t>
      </w:r>
    </w:p>
    <w:p>
      <w:r>
        <w:rPr>
          <w:color w:val="555555"/>
          <w:sz w:val="17"/>
        </w:rPr>
        <w:t xml:space="preserve">Zitiervorschlag: § 92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