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91 StrlSchV 2018 — Kennzeichnungspflicht</w:t>
      </w:r>
    </w:p>
    <w:p>
      <w:r>
        <w:rPr>
          <w:color w:val="555555"/>
          <w:sz w:val="18"/>
        </w:rPr>
        <w:t xml:space="preserve">Strahlenschutzverordnung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Strahlenschutzverantwortliche hat dafür zu sorgen, dass folgende Gegenstände, Anlagen und Bereiche mit Strahlenzeichen nach Anlage 10 gekennzeichnet werden:</w:t>
      </w:r>
    </w:p>
    <w:p>
      <w:pPr>
        <w:ind w:left="420"/>
      </w:pPr>
      <w:r>
        <w:t xml:space="preserve">1. Räume, Geräte, Vorrichtungen, Schutzbehälter, Aufbewahrungsbehältnisse und Umhüllungen für radioaktive Stoffe, mit denen nur auf Grund einer Genehmigung nach § 6 Absatz 1 Satz 1 oder Absatz 3 Satz 1, § 7 Absatz 1 Satz 1, Absatz 3 Satz 1 oder Absatz 5, § 9 Absatz 1 oder § 9b Absatz 1a Satz 1 des Atomgesetzes, eines Planfeststellungsbeschlusses nach § 9b Absatz 1 Satz 1 des Atomgesetzes oder einer Genehmigung nach § 12 Absatz 1 Nummer 3 des Strahlenschutzgesetzes umgegangen werden darf,</w:t>
      </w:r>
    </w:p>
    <w:p>
      <w:pPr>
        <w:ind w:left="420"/>
      </w:pPr>
      <w:r>
        <w:t xml:space="preserve">2. Anlagen zur Erzeugung ionisierender Strahlung,</w:t>
      </w:r>
    </w:p>
    <w:p>
      <w:pPr>
        <w:ind w:left="420"/>
      </w:pPr>
      <w:r>
        <w:t xml:space="preserve">3. Kontrollbereiche und Sperrbereiche,</w:t>
      </w:r>
    </w:p>
    <w:p>
      <w:pPr>
        <w:ind w:left="420"/>
      </w:pPr>
      <w:r>
        <w:t xml:space="preserve">4. Bereiche, in denen die Kontamination die in § 57 Absatz 2 Satz 1 genannten Werte überschreitet.</w:t>
      </w:r>
    </w:p>
    <w:p>
      <w:r>
        <w:t xml:space="preserve">Die Strahlenzeichen sind in ausreichender Anzahl deutlich sichtbar und dauerhaft anzubringen. Die Kennzeichnung muss mit Ausnahme von Kontrollbereichen und Sperrbereichen die Worte „Vorsicht – Strahlung“, „Radioaktiv“, „Kernbrennstoffe“ oder „Kontamination“ enthalten, soweit dies nach Größe und Beschaffenheit des zu kennzeichnenden Gegenstandes möglich ist.</w:t>
      </w:r>
    </w:p>
    <w:p>
      <w:r>
        <w:t xml:space="preserve">(2) Die Kennzeichnung ist nicht erforderlich bei Behältnissen oder Geräten, die innerhalb eines Kontrollbereichs in dafür vorgesehenen Bereichen verwendet werden, solange</w:t>
      </w:r>
    </w:p>
    <w:p>
      <w:pPr>
        <w:ind w:left="420"/>
      </w:pPr>
      <w:r>
        <w:t xml:space="preserve">1. die Person, die mit dieser Verwendung betraut ist, in diesen Bereichen anwesend ist oder</w:t>
      </w:r>
    </w:p>
    <w:p>
      <w:pPr>
        <w:ind w:left="420"/>
      </w:pPr>
      <w:r>
        <w:t xml:space="preserve">2. diese Bereiche gegen unbeabsichtigten Zutritt gesichert sind.</w:t>
      </w:r>
    </w:p>
    <w:p>
      <w:r>
        <w:t xml:space="preserve">Satz 1 gilt nicht für Behältnisse und Geräte, die hochradioaktive Strahlenquellen enthalten.</w:t>
      </w:r>
    </w:p>
    <w:p>
      <w:r>
        <w:t xml:space="preserve">(3) Der Strahlenschutzverantwortliche hat dafür zu sorgen, dass Schutzbehälter und Aufbewahrungsbehältnisse, die gemäß Absatz 1 gekennzeichnet sind, nur zur Aufbewahrung von radioaktiven Stoffen verwendet werden.</w:t>
      </w:r>
    </w:p>
    <w:p>
      <w:r>
        <w:rPr>
          <w:color w:val="555555"/>
          <w:sz w:val="17"/>
        </w:rPr>
        <w:t xml:space="preserve">Zitiervorschlag: § 91 StrlSchV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https://recht.nulegal.eu/gesetze/StrlSchV%202018/91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