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StrlSchV 2018 — Anzeigefreie Prüfung, Erprobung, Wartung und Instandsetzung von Röntgeneinrichtungen oder Störstrahlern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Anzeige nach § 22 Absatz 1 des Strahlenschutzgesetzes haben folgende Personen nicht zu erstatten:</w:t>
      </w:r>
    </w:p>
    <w:p>
      <w:pPr>
        <w:ind w:left="420"/>
      </w:pPr>
      <w:r>
        <w:t xml:space="preserve">1. derjenige, der geschäftsmäßig Störstrahler nach Anlage 3 Teil D Nummer 3 prüft, erprobt, wartet oder instand setzt,</w:t>
      </w:r>
    </w:p>
    <w:p>
      <w:pPr>
        <w:ind w:left="420"/>
      </w:pPr>
      <w:r>
        <w:t xml:space="preserve">2. derjenige, der, ohne Röntgenstrahlung einzuschalten, Tätigkeiten nach § 22 Absatz 1 des Strahlenschutzgesetzes an Anwendungsgeräten, Zusatzgeräten und Zubehör, der erforderlichen Software sowie an Vorrichtungen zur medizinischen Befundung durchführt, die keine Strahlenschutzmaßnahmen erfordern.</w:t>
      </w:r>
    </w:p>
    <w:p>
      <w:r>
        <w:rPr>
          <w:color w:val="555555"/>
          <w:sz w:val="17"/>
        </w:rPr>
        <w:t xml:space="preserve">Zitiervorschlag: § 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