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StrlSchV 2018 — Sicherung und Lagerung radioaktiver Stoffe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Strahlenschutzverantwortliche hat dafür zu sorgen, dass</w:t>
      </w:r>
    </w:p>
    <w:p>
      <w:pPr>
        <w:ind w:left="420"/>
      </w:pPr>
      <w:r>
        <w:t xml:space="preserve">1. radioaktive Stoffe, deren Aktivität die Freigrenze der Anlage 4 Tabelle 1 Spalte 2 und deren spezifische Aktivität die Freigrenze der Anlage 4 Tabelle 1 Spalte 3 überschreitet, gegen Abhandenkommen, missbräuchliche Verwendung und den Zugriff durch unbefugte Personen gesichert werden und</w:t>
      </w:r>
    </w:p>
    <w:p>
      <w:pPr>
        <w:ind w:left="420"/>
      </w:pPr>
      <w:r>
        <w:t xml:space="preserve">2. radioaktive Stoffe, deren Aktivität die Freigrenze der Anlage 4 Tabelle 1 Spalte 2 und deren spezifische Aktivität die Freigrenze der Anlage 4 Tabelle 1 Spalte 3 um das Hundertfache überschreitet, zusätzlich in geschützten Räumen oder Schutzbehältern gelagert werden, solange sie nicht bearbeitet, verarbeitet oder sonst verwendet werden.</w:t>
      </w:r>
    </w:p>
    <w:p>
      <w:r>
        <w:t xml:space="preserve">(2) Der Strahlenschutzverantwortliche hat dafür zu sorgen, dass Kernbrennstoffe so gelagert werden, dass während der Lagerung kein kritischer Zustand entstehen kann.</w:t>
      </w:r>
    </w:p>
    <w:p>
      <w:r>
        <w:t xml:space="preserve">(3) Der Strahlenschutzverantwortliche hat dafür zu sorgen, dass radioaktive Stoffe, die Sicherheitsmaßnahmen auf Grund internationaler Verpflichtungen unterliegen, so gelagert werden, dass die Durchführung der Sicherheitsmaßnahmen nicht beeinträchtigt wird.</w:t>
      </w:r>
    </w:p>
    <w:p>
      <w:r>
        <w:rPr>
          <w:color w:val="555555"/>
          <w:sz w:val="17"/>
        </w:rPr>
        <w:t xml:space="preserve">Zitiervorschlag: § 87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