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StrlSchV 2018 — Buchführung und Mitteilung bei der Freigabe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Strahlenschutzverantwortliche, der Inhaber der Freigabe nach § 33 Absatz 1 ist, hat dafür zu sorgen, dass über die Stoffe, für die die Übereinstimmung mit dem Inhalt des Freigabebescheides festgestellt wurde,</w:t>
      </w:r>
    </w:p>
    <w:p>
      <w:pPr>
        <w:ind w:left="420"/>
      </w:pPr>
      <w:r>
        <w:t xml:space="preserve">1. Buch geführt wird; dabei sind die folgenden Angaben zu machen:</w:t>
      </w:r>
    </w:p>
    <w:p>
      <w:pPr>
        <w:ind w:left="780"/>
      </w:pPr>
      <w:r>
        <w:t xml:space="preserve">a) die getroffenen Festlegungen nach den Anlagen 4 und 8, insbesondere die spezifische Aktivität, die Radionuklide, die Mittelungsmasse und die Mittelungsfläche,</w:t>
      </w:r>
    </w:p>
    <w:p>
      <w:pPr>
        <w:ind w:left="780"/>
      </w:pPr>
      <w:r>
        <w:t xml:space="preserve">b) die Masse der Stoffe,</w:t>
      </w:r>
    </w:p>
    <w:p>
      <w:pPr>
        <w:ind w:left="780"/>
      </w:pPr>
      <w:r>
        <w:t xml:space="preserve">c) das Verfahren der Freimessung und</w:t>
      </w:r>
    </w:p>
    <w:p>
      <w:pPr>
        <w:ind w:left="780"/>
      </w:pPr>
      <w:r>
        <w:t xml:space="preserve">d) der Zeitpunkt der Feststellung und</w:t>
      </w:r>
    </w:p>
    <w:p>
      <w:pPr>
        <w:ind w:left="420"/>
      </w:pPr>
      <w:r>
        <w:t xml:space="preserve">2. der zuständigen Behörde mindestens jährlich folgende Angaben mitgeteilt werden:</w:t>
      </w:r>
    </w:p>
    <w:p>
      <w:pPr>
        <w:ind w:left="780"/>
      </w:pPr>
      <w:r>
        <w:t xml:space="preserve">a) die Masse der Stoffe,</w:t>
      </w:r>
    </w:p>
    <w:p>
      <w:pPr>
        <w:ind w:left="780"/>
      </w:pPr>
      <w:r>
        <w:t xml:space="preserve">b) die jeweilige Art der Freigabe nach § 35, § 36 oder § 37 Absatz 1 und</w:t>
      </w:r>
    </w:p>
    <w:p>
      <w:pPr>
        <w:ind w:left="780"/>
      </w:pPr>
      <w:r>
        <w:t xml:space="preserve">c) bei einer spezifischen Freigabe zur Beseitigung sowie einer spezifischen Freigabe von Metallschrott zum Recycling der tatsächliche Verbleib.</w:t>
      </w:r>
    </w:p>
    <w:p>
      <w:r>
        <w:t xml:space="preserve">(2) Der Strahlenschutzverantwortliche, der Inhaber der Freigabe nach § 33 Absatz 1 ist, hat dafür zu sorgen, dass die Unterlagen nach Absatz 1 Nummer 1</w:t>
      </w:r>
    </w:p>
    <w:p>
      <w:pPr>
        <w:ind w:left="420"/>
      </w:pPr>
      <w:r>
        <w:t xml:space="preserve">1. ab dem Zeitpunkt der nach § 42 Absatz 1 getroffenen Feststellung 30 Jahre aufbewahrt und auf Verlangen der zuständigen Behörde bei dieser hinterlegt werden oder</w:t>
      </w:r>
    </w:p>
    <w:p>
      <w:pPr>
        <w:ind w:left="420"/>
      </w:pPr>
      <w:r>
        <w:t xml:space="preserve">2. unverzüglich einer von der zuständigen Behörde bestimmten Stelle übergeben werden, wenn die Tätigkeit vor Ablauf der Aufbewahrungsfrist nach Nummer 1 beendet wird.</w:t>
      </w:r>
    </w:p>
    <w:p>
      <w:r>
        <w:t xml:space="preserve">(3) Die zuständige Behörde kann im Einzelfall ganz oder teilweise von der Pflicht zur Buchführung und Mitteilung nach Absatz 1 befreien, wenn</w:t>
      </w:r>
    </w:p>
    <w:p>
      <w:pPr>
        <w:ind w:left="420"/>
      </w:pPr>
      <w:r>
        <w:t xml:space="preserve">1. die Halbwertszeit der Radionuklide sieben Tage nicht überschreitet und</w:t>
      </w:r>
    </w:p>
    <w:p>
      <w:pPr>
        <w:ind w:left="420"/>
      </w:pPr>
      <w:r>
        <w:t xml:space="preserve">2. durch Art und Aktivität der radioaktiven Stoffe keine Gefährdung von Mensch und Umwelt eintreten kann.</w:t>
      </w:r>
    </w:p>
    <w:p>
      <w:r>
        <w:rPr>
          <w:color w:val="555555"/>
          <w:sz w:val="17"/>
        </w:rPr>
        <w:t xml:space="preserve">Zitiervorschlag: § 86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