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84 StrlSchV 2018 — Register über hochradioaktive Strahlenquellen</w:t>
      </w:r>
    </w:p>
    <w:p>
      <w:r>
        <w:rPr>
          <w:color w:val="555555"/>
          <w:sz w:val="18"/>
        </w:rPr>
        <w:t xml:space="preserve">Strahlenschutzverordnung</w:t>
      </w:r>
    </w:p>
    <w:p>
      <w:r>
        <w:rPr>
          <w:color w:val="555555"/>
          <w:sz w:val="18"/>
        </w:rPr>
        <w:t xml:space="preserve">Stand: 17.01.2024 (konsolidierte Textfassung, kein amtliches Inkrafttretensdatum)</w:t>
      </w:r>
    </w:p>
    <w:p>
      <w:r>
        <w:t xml:space="preserve">(1) Das Bundesamt für Wirtschaft und Ausfuhrkontrolle übermittelt dem Register über hochradioaktive Strahlenquellen unverzüglich in gesicherter elektronischer Form die Angaben nach Anlage 9 über erteilte Genehmigungen nach § 3 Absatz 1 des Atomgesetzes oder § 12 Absatz 1 für die grenzüberschreitende Verbringung einer hochradioaktiven Strahlenquelle aus einem Staat, der nicht Mitgliedstaat der Europäischen Union ist, in den Geltungsbereich dieser Verordnung. Es informiert die zuständige Behörde unverzüglich über die Mitteilung nach Satz 1.</w:t>
      </w:r>
    </w:p>
    <w:p>
      <w:r>
        <w:t xml:space="preserve">(2) Die zuständige Behörde kann von ihr angeforderte Aufzeichnungen des Strahlenschutzverantwortlichen über hochradioaktive Strahlenquellen an das Register über hochradioaktive Strahlenquellen übermitteln.</w:t>
      </w:r>
    </w:p>
    <w:p>
      <w:r>
        <w:t xml:space="preserve">(3) Das Bundesamt für Strahlenschutz erteilt dem nach § 85 Absatz 4 Satz 1 oder § 167 Absatz 2 zur Mitteilung verpflichteten Strahlenschutzverantwortlichen oder den von ihm ermächtigten Personen auf Antrag eine persönliche Zugangsberechtigung zum Register über hochradioaktive Strahlenquellen zur Einsicht in die sie betreffenden gespeicherten Daten. Dem Strahlenschutzverantwortlichen oder den von ihm ermächtigten Personen ist Zugriff zu ermöglichen auf</w:t>
      </w:r>
    </w:p>
    <w:p>
      <w:pPr>
        <w:ind w:left="420"/>
      </w:pPr>
      <w:r>
        <w:t xml:space="preserve">1. die persönlichen Nutzerdaten zum Zweck der Aktualisierung,</w:t>
      </w:r>
    </w:p>
    <w:p>
      <w:pPr>
        <w:ind w:left="420"/>
      </w:pPr>
      <w:r>
        <w:t xml:space="preserve">2. die eigenen Meldungen zu hochradioaktiven Strahlenquellen zur Korrektur nach Aufforderung der zuständigen Behörde und</w:t>
      </w:r>
    </w:p>
    <w:p>
      <w:pPr>
        <w:ind w:left="420"/>
      </w:pPr>
      <w:r>
        <w:t xml:space="preserve">3. die Daten zu eigenen registrierten hochradioaktiven Strahlenquellen.</w:t>
      </w:r>
    </w:p>
    <w:p>
      <w:r>
        <w:t xml:space="preserve">(4) Das Bundesamt für Strahlenschutz fasst die übermittelten Daten im Register über hochradioaktive Strahlenquellen zusammen. Es unterrichtet unverzüglich</w:t>
      </w:r>
    </w:p>
    <w:p>
      <w:pPr>
        <w:ind w:left="420"/>
      </w:pPr>
      <w:r>
        <w:t xml:space="preserve">1. das für die kerntechnische Sicherheit und den Strahlenschutz zuständige Bundesministerium und das Bundeskriminalamt über den Eingang einer dem Register über hochradioaktive Strahlenquellen nach § 167 Absatz 2 oder § 168 Absatz 2 übermittelten Mitteilung über Fund, Erlangung, Verlust, widerrechtliche Entwendung oder Wiederauffinden einer hochradioaktiven Strahlenquelle,</w:t>
      </w:r>
    </w:p>
    <w:p>
      <w:pPr>
        <w:ind w:left="420"/>
      </w:pPr>
      <w:r>
        <w:t xml:space="preserve">2. die zuständige Behörde</w:t>
      </w:r>
    </w:p>
    <w:p>
      <w:pPr>
        <w:ind w:left="780"/>
      </w:pPr>
      <w:r>
        <w:t xml:space="preserve">a) in den Fällen, in denen übermittelte Daten nicht vollständig sind oder eine hochradioaktive Strahlenquelle gefunden wurde, und</w:t>
      </w:r>
    </w:p>
    <w:p>
      <w:pPr>
        <w:ind w:left="780"/>
      </w:pPr>
      <w:r>
        <w:t xml:space="preserve">b) über Mitteilungen nach § 85 Absatz 4 Satz 1.</w:t>
      </w:r>
    </w:p>
    <w:p>
      <w:r>
        <w:t xml:space="preserve">(5) Das Bundesamt für Strahlenschutz bestimmt das Datenformat und legt die technischen Rahmenbedingungen der Datenübermittlung im Einvernehmen mit dem Bundesamt für Sicherheit in der Informationstechnik fest.</w:t>
      </w:r>
    </w:p>
    <w:p>
      <w:r>
        <w:rPr>
          <w:color w:val="555555"/>
          <w:sz w:val="17"/>
        </w:rPr>
        <w:t xml:space="preserve">Zitiervorschlag: § 84 StrlSchV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https://recht.nulegal.eu/gesetze/StrlSchV%202018/84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