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StrlSchV 2018 — Werte für hochradioaktive Strahlenquellen</w:t>
      </w:r>
    </w:p>
    <w:p>
      <w:r>
        <w:rPr>
          <w:color w:val="555555"/>
          <w:sz w:val="18"/>
        </w:rPr>
        <w:t xml:space="preserve">Strahlenschutzverordnung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Bestimmung, ab welcher Aktivität ein umschlossener radioaktiver Stoff eine hochradioaktive Strahlenquelle ist, ist Anlage 4 Tabelle 1 Spalte 4 anzuwenden.</w:t>
      </w:r>
    </w:p>
    <w:p>
      <w:r>
        <w:rPr>
          <w:color w:val="555555"/>
          <w:sz w:val="17"/>
        </w:rPr>
        <w:t xml:space="preserve">Zitiervorschlag: § 83 StrlSchV 2018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https://recht.nulegal.eu/gesetze/StrlSchV%202018/83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