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StrlSchV 2018 — Strahlenschutz in Schulen und bei Lehr- und Ausbildungsverhältnissen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Röntgeneinrichtungen dürfen im Zusammenhang mit dem Unterricht in allgemeinbildenden Schulen nur betrieben werden, wenn sie Schulröntgeneinrichtungen sind.</w:t>
      </w:r>
    </w:p>
    <w:p>
      <w:r>
        <w:t xml:space="preserve">(2) Der Strahlenschutzverantwortliche hat dafür zu sorgen, dass Schüler und Auszubildende bei folgenden Tätigkeiten in Schulen nur unter Aufsicht einer Lehrkraft unmittelbar mitwirken:</w:t>
      </w:r>
    </w:p>
    <w:p>
      <w:pPr>
        <w:ind w:left="420"/>
      </w:pPr>
      <w:r>
        <w:t xml:space="preserve">1. beim Betrieb einer Schulröntgeneinrichtung oder eines Vollschutzgerätes,</w:t>
      </w:r>
    </w:p>
    <w:p>
      <w:pPr>
        <w:ind w:left="420"/>
      </w:pPr>
      <w:r>
        <w:t xml:space="preserve">2. beim Betrieb einer anderen Röntgeneinrichtung oder eines genehmigungsbedürftigen Störstrahlers und</w:t>
      </w:r>
    </w:p>
    <w:p>
      <w:pPr>
        <w:ind w:left="420"/>
      </w:pPr>
      <w:r>
        <w:t xml:space="preserve">3. beim genehmigungsbedürftigen Umgang mit radioaktiven Stoffen.</w:t>
      </w:r>
    </w:p>
    <w:p>
      <w:r>
        <w:t xml:space="preserve">Bei Tätigkeiten nach Satz 1 Nummer 2 und 3 hat der Strahlenschutzverantwortliche zudem dafür zu sorgen, dass die Lehrkraft nach Satz 1 die erforderliche Fachkunde im Strahlenschutz besitzt.</w:t>
      </w:r>
    </w:p>
    <w:p>
      <w:r>
        <w:t xml:space="preserve">(3) Der für ein Lehr- oder Ausbildungsverhältnis Verantwortliche hat dafür zu sorgen, dass durch geeignete Schutzmaßnahmen eine innere Exposition durch Stoffe, bei denen der Umgang nach Anlage 3 Teil B Nummer 8 genehmigungsfrei ist, ausgeschlossen wird.</w:t>
      </w:r>
    </w:p>
    <w:p>
      <w:r>
        <w:rPr>
          <w:color w:val="555555"/>
          <w:sz w:val="17"/>
        </w:rPr>
        <w:t xml:space="preserve">Zitiervorschlag: § 82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