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StrlSchV 2018 — Behördliche Entscheidung</w:t>
      </w:r>
    </w:p>
    <w:p>
      <w:r>
        <w:rPr>
          <w:color w:val="555555"/>
          <w:sz w:val="18"/>
        </w:rPr>
        <w:t xml:space="preserve">Strahlenschutzverordnung</w:t>
      </w:r>
    </w:p>
    <w:p>
      <w:r>
        <w:rPr>
          <w:color w:val="555555"/>
          <w:sz w:val="18"/>
        </w:rPr>
        <w:t xml:space="preserve">Stand: 10.06.2019 (konsolidierte Textfassung, kein amtliches Inkrafttretensdatum)</w:t>
      </w:r>
    </w:p>
    <w:p>
      <w:r>
        <w:t xml:space="preserve">(1) Hält der Strahlenschutzverantwortliche oder die beruflich exponierte Person die vom ermächtigten Arzt in der ärztlichen Bescheinigung getroffene Beurteilung für unzutreffend, so kann er oder sie eine Entscheidung der zuständigen Behörde beantragen. Die Entscheidung der zuständigen Behörde ersetzt die ärztliche Bescheinigung.</w:t>
      </w:r>
    </w:p>
    <w:p>
      <w:r>
        <w:t xml:space="preserve">(2) Die zuständige Behörde kann vor ihrer Entscheidung das Gutachten eines ärztlichen Sachverständigen einholen. Die Kosten des Gutachtens sind vom Strahlenschutzverantwortlichen zu tragen.</w:t>
      </w:r>
    </w:p>
    <w:p>
      <w:r>
        <w:rPr>
          <w:color w:val="555555"/>
          <w:sz w:val="17"/>
        </w:rPr>
        <w:t xml:space="preserve">Zitiervorschlag: § 80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