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StrlSchV 2018 — Ärztliche Überwachung nach Beendigung der Aufgabenwahrnehmung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die ärztliche Überwachung nach Beendigung der Aufgabenwahrnehmung als beruflich exponierte Person mit Einwilligung der betroffenen Person so lange fortgesetzt wird, wie es ein nach § 175 Absatz 1 Satz 1 ermächtigter Arzt zum Schutz der Person für erforderlich erachtet (nachgehende Untersuchung).</w:t>
      </w:r>
    </w:p>
    <w:p>
      <w:r>
        <w:t xml:space="preserve">(2) Die Verpflichtung zum Angebot nachgehender Untersuchungen besteht nicht mehr, wenn nach Beendigung des Beschäftigungsverhältnisses die nachgehende Untersuchung mit Einwilligung der betroffenen Person auf Veranlassung des zuständigen gesetzlichen Unfallversicherungsträgers durchgeführt wird. Voraussetzung hierfür ist, dass dem Unfallversicherungsträger die erforderlichen Unterlagen in Kopie überlassen werden; auf diese Voraussetzung ist die betroffene Person vor Abgabe der Einwilligung schriftlich hinzuweisen.</w:t>
      </w:r>
    </w:p>
    <w:p>
      <w:r>
        <w:rPr>
          <w:color w:val="555555"/>
          <w:sz w:val="17"/>
        </w:rPr>
        <w:t xml:space="preserve">Zitiervorschlag: § 78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