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StrlSchV 2018 — Besondere Regelungen zum Schutz des raumfahrenden Personals</w:t>
      </w:r>
    </w:p>
    <w:p>
      <w:r>
        <w:rPr>
          <w:color w:val="555555"/>
          <w:sz w:val="18"/>
        </w:rPr>
        <w:t xml:space="preserve">Strahlenschutzverordnung</w:t>
      </w:r>
    </w:p>
    <w:p>
      <w:r>
        <w:rPr>
          <w:color w:val="555555"/>
          <w:sz w:val="18"/>
        </w:rPr>
        <w:t xml:space="preserve">Stand: 10.06.2019 (konsolidierte Textfassung, kein amtliches Inkrafttretensdatum)</w:t>
      </w:r>
    </w:p>
    <w:p>
      <w:r>
        <w:t xml:space="preserve">Beim anzeigebedürftigen Betrieb eines Raumfahrzeugs ist abweichend von den §§ 64 und 65 die Körperdosis, die das raumfahrende Personal während des Einsatzes durch kosmische Strahlung erhält, durch ein für die besonderen Expositionsbedingungen geeignetes Verfahren zu ermitteln. § 64 Absatz 3 Satz 1 gilt entsprechend. Die §§ 45, 46, 63, 71, 72 oder 69 gelten nur, soweit die zuständige Behörde die dort genannten Maßnahmen zum Schutz des eingesetzten raumfahrenden Personals entsprechend anordnet. § 81 findet keine Anwendung.</w:t>
      </w:r>
    </w:p>
    <w:p>
      <w:r>
        <w:rPr>
          <w:color w:val="555555"/>
          <w:sz w:val="17"/>
        </w:rPr>
        <w:t xml:space="preserve">Zitiervorschlag: § 76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