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StrlSchV 2018 — Ermittlung der Körperdosis des fliegenden Personals</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Abweichend von § 65 hat der Strahlenschutzverantwortliche beim anzeigebedürftigen Betrieb eines Luftfahrzeugs dafür zu sorgen, dass zur Ermittlung der Körperdosis des eingesetzten fliegenden Personals ein von der zuständigen Behörde anerkanntes Rechenprogramm oder ein geeignetes Messgerät verwendet wird. Mit Zustimmung der zuständigen Behörde kann ein anderes von ihr anerkanntes Rechenprogramm oder ein anderes geeignetes Messgerät als das nach § 50 Absatz 3 Nummer 4 des Strahlenschutzgesetzes benannte Programm oder Messgerät verwendet werden.</w:t>
      </w:r>
    </w:p>
    <w:p>
      <w:r>
        <w:t xml:space="preserve">(2) Im Falle der Ermittlung mithilfe eines Messgerätes gilt § 65 Absatz 2, 3 und § 66 Absatz 4 entsprechend.</w:t>
      </w:r>
    </w:p>
    <w:p>
      <w:r>
        <w:t xml:space="preserve">(3) Der Strahlenschutzverantwortliche hat dafür zu sorgen, dass die Ermittlungsergebnisse spätestens sechs Monate nach dem Einsatz vorliegen und unverzüglich dem Luftfahrt-Bundesamt nach § 168 Absatz 2 des Strahlenschutzgesetzes vorgelegt werden.</w:t>
      </w:r>
    </w:p>
    <w:p>
      <w:r>
        <w:rPr>
          <w:color w:val="555555"/>
          <w:sz w:val="17"/>
        </w:rPr>
        <w:t xml:space="preserve">Zitiervorschlag: § 67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