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StrlSchV 2018 — Messung der Personendosis</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Die Messung der Personendosis nach § 65 Absatz 1 Satz 1 hat zu erfolgen mit</w:t>
      </w:r>
    </w:p>
    <w:p>
      <w:pPr>
        <w:ind w:left="420"/>
      </w:pPr>
      <w:r>
        <w:t xml:space="preserve">1. einem Dosimeter, das bei einer nach § 169 des Strahlenschutzgesetzes bestimmten Messstelle anzufordern ist, oder</w:t>
      </w:r>
    </w:p>
    <w:p>
      <w:pPr>
        <w:ind w:left="420"/>
      </w:pPr>
      <w:r>
        <w:t xml:space="preserve">2. einem Dosimeter, das unter der Verantwortung des Strahlenschutzverantwortlichen ausgewertet wird und dessen Verwendung nach Zustimmung einer nach § 169 des Strahlenschutzgesetzes bestimmten Messstelle von der zuständigen Behörde gestattet wurde.</w:t>
      </w:r>
    </w:p>
    <w:p>
      <w:r>
        <w:t xml:space="preserve">(2) Der Strahlenschutzverantwortliche hat dafür zu sorgen, dass das Dosimeter an einer für die Exposition als repräsentativ geltenden Stelle der Körperoberfläche, in der Regel an der Vorderseite des Rumpfes, getragen wird. Der Messwert des Dosimeters ist als Maß für die effektive Dosis zu werten, sofern die Körperdosis für einzelne Körperteile, Organe oder Gewebe nicht genauer ermittelt worden ist. Ist vorauszusehen, dass im Kalenderjahr die Organ-Äquivalentdosis für die Hände, die Unterarme, die Füße oder Knöchel oder die lokale Hautdosis größer als 150 Millisievert oder die Organ-Äquivalentdosis der Augenlinse größer als 15 Millisievert sein kann, hat der Strahlenschutzverantwortliche dafür zu sorgen, dass die Personendosis durch weitere Dosimeter auch an einzelnen Körperteilen festgestellt wird. Die zuständige Behörde kann auf Grund der Expositionsbedingungen anordnen, dass die Personendosis nach einem anderen geeigneten oder nach zwei voneinander unabhängigen Verfahren gemessen wird.</w:t>
      </w:r>
    </w:p>
    <w:p>
      <w:r>
        <w:t xml:space="preserve">(3) Der Strahlenschutzverantwortliche hat dafür zu sorgen, dass</w:t>
      </w:r>
    </w:p>
    <w:p>
      <w:pPr>
        <w:ind w:left="420"/>
      </w:pPr>
      <w:r>
        <w:t xml:space="preserve">1. die Dosimeter nach Absatz 1 Nummer 1 und Absatz 2 Satz 3 der Messstelle jeweils nach Ablauf eines Monats unverzüglich eingereicht werden oder</w:t>
      </w:r>
    </w:p>
    <w:p>
      <w:pPr>
        <w:ind w:left="420"/>
      </w:pPr>
      <w:r>
        <w:t xml:space="preserve">2. im Falle des Absatzes 1 Nummer 2 die Messwerte der Messstelle zur Prüfung und Feststellung bereitgestellt werden.</w:t>
      </w:r>
    </w:p>
    <w:p>
      <w:r>
        <w:t xml:space="preserve">Die zuständige Behörde kann gestatten, dass Dosimeter in Zeitabständen bis zu drei Monaten bei der Messstelle einzureichen sind, wenn die Expositionsbedingungen dem nicht entgegenstehen.</w:t>
      </w:r>
    </w:p>
    <w:p>
      <w:r>
        <w:t xml:space="preserve">(4) Der Strahlenschutzverantwortliche hat dafür zu sorgen, dass die Qualität der Messungen nach Absatz 1 Nummer 2 durch regelmäßige interne Prüfungen sichergestellt wird. Er hat dafür zu sorgen, dass die Ergebnisse der Prüfungen der zuständigen Behörde auf Verlangen mitgeteilt werden.</w:t>
      </w:r>
    </w:p>
    <w:p>
      <w:r>
        <w:t xml:space="preserve">(5) Der Strahlenschutzverantwortliche hat dafür zu sorgen, dass einer zu überwachenden Person auf ihr Verlangen ein Dosimeter zur Verfügung gestellt wird, mit dem die Personendosis gemessen und jederzeit festgestellt werden kann.</w:t>
      </w:r>
    </w:p>
    <w:p>
      <w:r>
        <w:rPr>
          <w:color w:val="555555"/>
          <w:sz w:val="17"/>
        </w:rPr>
        <w:t xml:space="preserve">Zitiervorschlag: § 66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