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StrlSchV 2018 — Vorgehen bei der Ermittlung der Körperdosis</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Strahlenschutzverantwortliche hat dafür zu sorgen, dass zur Ermittlung der Körperdosis die Personendosis nach § 66 gemessen wird. Die zuständige Behörde kann auf Grund der Expositionsbedingungen bestimmen, dass zur Ermittlung der Körperdosis zusätzlich oder, abweichend von Satz 1, allein</w:t>
      </w:r>
    </w:p>
    <w:p>
      <w:pPr>
        <w:ind w:left="420"/>
      </w:pPr>
      <w:r>
        <w:t xml:space="preserve">1. die Ortsdosis, die Ortsdosisleistung, die Konzentration radioaktiver Stoffe in der Luft oder die Kontamination des Arbeitsplatzes gemessen wird,</w:t>
      </w:r>
    </w:p>
    <w:p>
      <w:pPr>
        <w:ind w:left="420"/>
      </w:pPr>
      <w:r>
        <w:t xml:space="preserve">2. die Körperaktivität oder die Aktivität der Ausscheidungen gemessen wird oder</w:t>
      </w:r>
    </w:p>
    <w:p>
      <w:pPr>
        <w:ind w:left="420"/>
      </w:pPr>
      <w:r>
        <w:t xml:space="preserve">3. weitere Eigenschaften des Strahlungsfeldes oder der Quelle der ionisierenden Strahlung festgestellt werden.</w:t>
      </w:r>
    </w:p>
    <w:p>
      <w:r>
        <w:t xml:space="preserve">(2) Der Strahlenschutzverantwortliche hat dafür zu sorgen, dass bei einer unterbliebenen oder fehlerhaften Messung</w:t>
      </w:r>
    </w:p>
    <w:p>
      <w:pPr>
        <w:ind w:left="420"/>
      </w:pPr>
      <w:r>
        <w:t xml:space="preserve">1. die zuständige Behörde informiert wird und</w:t>
      </w:r>
    </w:p>
    <w:p>
      <w:pPr>
        <w:ind w:left="420"/>
      </w:pPr>
      <w:r>
        <w:t xml:space="preserve">2. die Dosis abgeschätzt wird.</w:t>
      </w:r>
    </w:p>
    <w:p>
      <w:r>
        <w:t xml:space="preserve">Die zuständige Behörde legt eine Ersatzdosis fest und veranlasst, dass die Ersatzdosis an das Strahlenschutzregister nach § 170 des Strahlenschutzgesetzes übermittelt wird. Die zuständige Behörde kann im Einzelfall von der Festlegung einer Ersatzdosis absehen, wenn die festzusetzende Dosis 0 Millisievert beträgt und sie diesen Wert an das Strahlenschutzregister nach § 170 des Strahlenschutzgesetzes übermittelt. Die Übermittlung nach Satz 2 oder 3 kann über eine nach § 169 des Strahlenschutzgesetzes bestimmte Messstelle erfolgen.</w:t>
      </w:r>
    </w:p>
    <w:p>
      <w:r>
        <w:t xml:space="preserve">(3) Besteht auf Grund der Ermittlung der Körperdosis der Verdacht, dass einer der Dosisgrenzwerte des § 78 des Strahlenschutzgesetzes überschritten wurde, hat der Strahlenschutzverantwortliche dafür zu sorgen, dass die Körperdosis unter Berücksichtigung der Expositionsbedingungen ermittelt wird. Er hat dafür zu sorgen, dass die ermittelte Körperdosis unverzüglich der betroffenen Person mitgeteilt und zusammen mit den Angaben zu den Expositionsbedingungen an die zuständige Behörde übermittelt wird. Die zuständige Behörde veranlasst, dass die ermittelte Körperdosis und die Angaben über die Expositionsbedingungen an das Strahlenschutzregister nach § 170 des Strahlenschutzgesetzes übermittelt werden. Dies kann über eine nach § 169 des Strahlenschutzgesetzes bestimmte Messstelle erfolgen.</w:t>
      </w:r>
    </w:p>
    <w:p>
      <w:r>
        <w:t xml:space="preserve">(4) Der Strahlenschutzverantwortliche hat dafür zu sorgen, dass die Messung der Körperaktivität oder der Aktivität der Ausscheidungen sowie die auf Grund dieser Messung durchzuführende Ermittlung der Körperdosis durch eine nach § 169 des Strahlenschutzgesetzes bestimmte Messstelle durchgeführt wird.</w:t>
      </w:r>
    </w:p>
    <w:p>
      <w:r>
        <w:rPr>
          <w:color w:val="555555"/>
          <w:sz w:val="17"/>
        </w:rPr>
        <w:t xml:space="preserve">Zitiervorschlag: § 65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