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StrlSchV 2018 — Bestrahlungsräume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 folgende Geräte bei der Anwendung am Menschen und der Anwendung am Tier in der Tierheilkunde nur in Bestrahlungsräumen betrieben werden:</w:t>
      </w:r>
    </w:p>
    <w:p>
      <w:pPr>
        <w:ind w:left="420"/>
      </w:pPr>
      <w:r>
        <w:t xml:space="preserve">1. Röntgeneinrichtungen zur Behandlung,</w:t>
      </w:r>
    </w:p>
    <w:p>
      <w:pPr>
        <w:ind w:left="420"/>
      </w:pPr>
      <w:r>
        <w:t xml:space="preserve">2. Anlagen zur Erzeugung ionisierender Strahlung sowie</w:t>
      </w:r>
    </w:p>
    <w:p>
      <w:pPr>
        <w:ind w:left="420"/>
      </w:pPr>
      <w:r>
        <w:t xml:space="preserve">3. Bestrahlungsvorrichtungen,</w:t>
      </w:r>
    </w:p>
    <w:p>
      <w:pPr>
        <w:ind w:left="780"/>
      </w:pPr>
      <w:r>
        <w:t xml:space="preserve">a) die hochradioaktive Strahlenquellen enthalten oder</w:t>
      </w:r>
    </w:p>
    <w:p>
      <w:pPr>
        <w:ind w:left="780"/>
      </w:pPr>
      <w:r>
        <w:t xml:space="preserve">b) bei denen die Gesamtaktivität der radioaktiven Stoffe den Wert von Anlage 4 Tabelle 1 Spalte 4 überschreitet.</w:t>
      </w:r>
    </w:p>
    <w:p>
      <w:r>
        <w:t xml:space="preserve">(2) Bestrahlungsräume müssen</w:t>
      </w:r>
    </w:p>
    <w:p>
      <w:pPr>
        <w:ind w:left="420"/>
      </w:pPr>
      <w:r>
        <w:t xml:space="preserve">1. allseitig umschlossen sein,</w:t>
      </w:r>
    </w:p>
    <w:p>
      <w:pPr>
        <w:ind w:left="420"/>
      </w:pPr>
      <w:r>
        <w:t xml:space="preserve">2. so bemessen sein, dass die erforderlichen Verrichtungen ohne Behinderung vorgenommen werden können,</w:t>
      </w:r>
    </w:p>
    <w:p>
      <w:pPr>
        <w:ind w:left="420"/>
      </w:pPr>
      <w:r>
        <w:t xml:space="preserve">3. über eine geeignete Ausstattung zur Überwachung der Person verfügen, an der ionisierende Strahlung angewendet wird, und</w:t>
      </w:r>
    </w:p>
    <w:p>
      <w:pPr>
        <w:ind w:left="420"/>
      </w:pPr>
      <w:r>
        <w:t xml:space="preserve">4. so bemessen sein, dass sich bei Anlagen zur Erzeugung ionisierender Strahlung und bei Bestrahlungsvorrichtungen nach Absatz 1 Nummer 3</w:t>
      </w:r>
    </w:p>
    <w:p>
      <w:pPr>
        <w:ind w:left="780"/>
      </w:pPr>
      <w:r>
        <w:t xml:space="preserve">a) die Bedienungsvorrichtungen, die die Strahlung freigeben, in einem Nebenraum außerhalb des Kontrollbereichs befinden, und</w:t>
      </w:r>
    </w:p>
    <w:p>
      <w:pPr>
        <w:ind w:left="780"/>
      </w:pPr>
      <w:r>
        <w:t xml:space="preserve">b) in dem Bestrahlungsraum mindestens ein Notschalter befindet, mit dem die Anlage abgeschaltet, der Strahlerkopf der Bestrahlungsvorrichtung geschlossen oder der radioaktive Stoff in die Abschirmung eingefahren werden kann.</w:t>
      </w:r>
    </w:p>
    <w:p>
      <w:r>
        <w:rPr>
          <w:color w:val="555555"/>
          <w:sz w:val="17"/>
        </w:rPr>
        <w:t xml:space="preserve">Zitiervorschlag: § 61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