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StrlSchV 2018 — Röntgenräume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eine Röntgeneinrichtung nur in einem Röntgenraum betrieben wird.</w:t>
      </w:r>
    </w:p>
    <w:p>
      <w:r>
        <w:t xml:space="preserve">(2) Röntgenräume müssen allseitig umschlossen und in der Genehmigung nach § 12 Absatz 1 Nummer 4 des Strahlenschutzgesetzes, in der Bescheinigung nach § 19 Absatz 3 Satz 1 Nummer 1 des Strahlenschutzgesetzes oder in der Entscheidung nach § 19 Absatz 3 Satz 2 des Strahlenschutzgesetzes als Röntgenraum bezeichnet sein.</w:t>
      </w:r>
    </w:p>
    <w:p>
      <w:r>
        <w:t xml:space="preserve">(3) Der Strahlenschutzverantwortliche hat dafür zu sorgen, dass im Kontrollbereich von Röntgeneinrichtungen, die in einem Röntgenraum betrieben werden, Arbeitsplätze, Verkehrswege oder Umkleidekabinen nur liegen, wenn sichergestellt ist, dass sich dort während der Einschaltzeit keine Personen aufhalten. Dies gilt nicht für Arbeitsplätze, die aus Gründen einer ordnungsgemäßen Anwendung der Röntgenstrahlen nicht außerhalb des Kontrollbereichs liegen können.</w:t>
      </w:r>
    </w:p>
    <w:p>
      <w:r>
        <w:t xml:space="preserve">(4) Absatz 1 gilt nicht</w:t>
      </w:r>
    </w:p>
    <w:p>
      <w:pPr>
        <w:ind w:left="420"/>
      </w:pPr>
      <w:r>
        <w:t xml:space="preserve">1. für Röntgeneinrichtungen, die nach § 61 in einem Bestrahlungsraum zu betreiben sind,</w:t>
      </w:r>
    </w:p>
    <w:p>
      <w:pPr>
        <w:ind w:left="420"/>
      </w:pPr>
      <w:r>
        <w:t xml:space="preserve">2. für Röntgeneinrichtungen, bei denen die Genehmigung einen Betrieb außerhalb eines Röntgenraums und eines Bestrahlungsraums zulässt,</w:t>
      </w:r>
    </w:p>
    <w:p>
      <w:pPr>
        <w:ind w:left="420"/>
      </w:pPr>
      <w:r>
        <w:t xml:space="preserve">3. für Basis-, Hoch- und Vollschutzgeräte sowie Schulröntgeneinrichtungen und</w:t>
      </w:r>
    </w:p>
    <w:p>
      <w:pPr>
        <w:ind w:left="420"/>
      </w:pPr>
      <w:r>
        <w:t xml:space="preserve">4. in den Ausnahmefällen nach § 19 Absatz 2 Nummer 5 des Strahlenschutzgesetzes, in denen der Zustand der zu untersuchenden Person oder des zu untersuchenden Tieres oder dessen Größe im Einzelfall zwingend den Betrieb außerhalb eines Röntgenraums erfordert.</w:t>
      </w:r>
    </w:p>
    <w:p>
      <w:r>
        <w:rPr>
          <w:color w:val="555555"/>
          <w:sz w:val="17"/>
        </w:rPr>
        <w:t xml:space="preserve">Zitiervorschlag: § 60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