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StrlSchV 2018 — Vorbereitung der Brandbekämpfung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zur Vorbereitung der Brandbekämpfung mit den nach Landesrecht zuständigen Behörden die erforderlichen Maßnahmen geplant werden. Es ist insbesondere festzulegen, an welchen Orten die Feuerwehr oder, in untertägigen Betrieben, die Grubenwehr im Einsatzfall</w:t>
      </w:r>
    </w:p>
    <w:p>
      <w:pPr>
        <w:ind w:left="420"/>
      </w:pPr>
      <w:r>
        <w:t xml:space="preserve">1. ohne besonderen Schutz vor den Gefahren radioaktiver Stoffe tätig werden kann (Gefahrengruppe I),</w:t>
      </w:r>
    </w:p>
    <w:p>
      <w:pPr>
        <w:ind w:left="420"/>
      </w:pPr>
      <w:r>
        <w:t xml:space="preserve">2. nur unter Verwendung einer Sonderausrüstung tätig werden kann (Gefahrengruppe II) und</w:t>
      </w:r>
    </w:p>
    <w:p>
      <w:pPr>
        <w:ind w:left="420"/>
      </w:pPr>
      <w:r>
        <w:t xml:space="preserve">3. nur mit einer Sonderausrüstung und unter Hinzuziehung einer Person mit der erforderlichen Fachkunde, um die beim Einsatz in diesem Bereich entstehende Gefährdung durch ionisierende Strahlung sowie die notwendigen Schutzmaßnahmen beurteilen zu können, tätig werden kann (Gefahrengruppe III).</w:t>
      </w:r>
    </w:p>
    <w:p>
      <w:r>
        <w:t xml:space="preserve">Der Strahlenschutzverantwortliche hat dafür zu sorgen, dass die betroffenen Bereiche jeweils am Zugang deutlich sichtbar und dauerhaft mit dem Zeichen „Gefahrengruppe I“, „Gefahrengruppe II“ oder „Gefahrengruppe III“ gekennzeichnet werden.</w:t>
      </w:r>
    </w:p>
    <w:p>
      <w:r>
        <w:t xml:space="preserve">(2) Absatz 1 gilt nicht beim ausschließlichen Betrieb von Röntgeneinrichtungen oder Störstrahlern.</w:t>
      </w:r>
    </w:p>
    <w:p>
      <w:r>
        <w:rPr>
          <w:color w:val="555555"/>
          <w:sz w:val="17"/>
        </w:rPr>
        <w:t xml:space="preserve">Zitiervorschlag: § 54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