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StrlSchV 2018 — Abgrenzung, Kennzeichnung und Sicherung von Strahlenschutzbereichen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Kontrollbereiche nach § 52 Absatz 2 Satz 1 Nummer 2 abgegrenzt und zusätzlich zur Kennzeichnung nach § 91 Absatz 1 deutlich sichtbar und dauerhaft mit dem Zusatz „Kontrollbereich“ gekennzeichnet werden. Die zuständige Behörde kann Ausnahmen von Satz 1 gestatten, wenn dadurch Einzelne oder die Allgemeinheit nicht gefährdet werden.</w:t>
      </w:r>
    </w:p>
    <w:p>
      <w:r>
        <w:t xml:space="preserve">(2) Im Falle von Kontrollbereichen, in denen ausschließlich Röntgeneinrichtungen oder genehmigungsbedürftige Störstrahler betrieben werden, hat der Strahlenschutzverantwortliche dafür zu sorgen, dass diese Bereiche während der Einschaltzeit und der Betriebsbereitschaft mindestens mit den Worten „Kein Zutritt – Röntgen“ gekennzeichnet werden. Die dauerhafte Kennzeichnung nach Absatz 1 Satz 1 und § 91 Absatz 1 ist entbehrlich.</w:t>
      </w:r>
    </w:p>
    <w:p>
      <w:r>
        <w:t xml:space="preserve">(3) Der Strahlenschutzverantwortliche hat dafür zu sorgen, dass Sperrbereiche nach § 52 Absatz 2 Satz 1 Nummer 3 abgegrenzt und zusätzlich zur Kennzeichnung nach § 91 Absatz 1 deutlich sichtbar und dauerhaft mindestens mit dem Zusatz „Sperrbereich – Kein Zutritt“ gekennzeichnet werden. Er hat dafür zu sorgen, dass die Sperrbereiche so abgesichert werden, dass Personen, auch mit einzelnen Körperteilen, nicht unkontrolliert hineingelangen können. Die zuständige Behörde kann Ausnahmen von den Sätzen 1 und 2 gestatten, wenn dadurch Einzelne oder die Allgemeinheit nicht gefährdet werden.</w:t>
      </w:r>
    </w:p>
    <w:p>
      <w:r>
        <w:t xml:space="preserve">(4) Sperrbereiche, die innerhalb eines Teiles eines Röntgen- oder Bestrahlungsraumes eingerichtet sind, müssen abweichend von Absatz 3 nicht gesondert gekennzeichnet oder abgegrenzt werden, wenn sich in dem Röntgen- oder Bestrahlungsraum während der Einschaltzeit der Röntgeneinrichtung, der Anlage zur Erzeugung ionisierender Strahlung oder der Bestrahlungsvorrichtung nur die folgenden Personen aufhalten können:</w:t>
      </w:r>
    </w:p>
    <w:p>
      <w:pPr>
        <w:ind w:left="420"/>
      </w:pPr>
      <w:r>
        <w:t xml:space="preserve">1. Personen, an denen ionisierende Strahlung angewendet wird,</w:t>
      </w:r>
    </w:p>
    <w:p>
      <w:pPr>
        <w:ind w:left="420"/>
      </w:pPr>
      <w:r>
        <w:t xml:space="preserve">2. Betreuungs- oder Begleitpersonen oder</w:t>
      </w:r>
    </w:p>
    <w:p>
      <w:pPr>
        <w:ind w:left="420"/>
      </w:pPr>
      <w:r>
        <w:t xml:space="preserve">3. Personen, die ionisierende Strahlung anwenden und deren Aufenthalt in unmittelbarer Nähe der zu behandelnden Person erforderlich ist.</w:t>
      </w:r>
    </w:p>
    <w:p>
      <w:r>
        <w:t xml:space="preserve">(5) Beim ortsveränderlichen Umgang mit radioaktiven Stoffen und beim ortsveränderlichen Betrieb von Anlagen zur Erzeugung ionisierender Strahlung, Röntgeneinrichtungen, Störstrahlern oder Bestrahlungsvorrichtungen hat der Strahlenschutzverantwortliche dafür zu sorgen, dass ein einzurichtender Kontrollbereich so abgegrenzt und gekennzeichnet wird, dass unbeteiligte Personen diesen nicht unbeabsichtigt betreten können. Kann ausgeschlossen werden, dass unbeteiligte Personen den Kontrollbereich unbeabsichtigt betreten können, ist die Abgrenzung nicht erforderlich. Eine zusätzliche Abgrenzung oder Kennzeichnung von Sperrbereichen innerhalb des Kontrollbereichs ist nicht erforderlich.</w:t>
      </w:r>
    </w:p>
    <w:p>
      <w:r>
        <w:rPr>
          <w:color w:val="555555"/>
          <w:sz w:val="17"/>
        </w:rPr>
        <w:t xml:space="preserve">Zitiervorschlag: § 53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