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StrlSchV 2018 — Einrichten von Strahlenschutzbereichen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bei den nachfolgenden Tätigkeiten Strahlenschutzbereiche nach Absatz 2 Satz 1 eingerichtet werden, wenn die Exposition von Personen einen der Grenzwerte für Einzelpersonen der Bevölkerung nach § 80 Absatz 1 und 2 des Strahlenschutzgesetzes überschreiten kann:</w:t>
      </w:r>
    </w:p>
    <w:p>
      <w:pPr>
        <w:ind w:left="420"/>
      </w:pPr>
      <w:r>
        <w:t xml:space="preserve">1. Tätigkeiten, die einer Genehmigung nach § 12 Absatz 1 des Strahlenschutzgesetzes bedürfen,</w:t>
      </w:r>
    </w:p>
    <w:p>
      <w:pPr>
        <w:ind w:left="420"/>
      </w:pPr>
      <w:r>
        <w:t xml:space="preserve">2. Tätigkeiten, die einer Genehmigung nach §§ 6, 7, 9 oder 9b des Atomgesetzes oder eines Planfeststellungsbeschlusses nach § 9b des Atomgesetzes bedürfen, oder</w:t>
      </w:r>
    </w:p>
    <w:p>
      <w:pPr>
        <w:ind w:left="420"/>
      </w:pPr>
      <w:r>
        <w:t xml:space="preserve">3. Tätigkeiten, die anzeigepflichtig nach §§ 17 oder 19 des Strahlenschutzgesetzes sind.</w:t>
      </w:r>
    </w:p>
    <w:p>
      <w:r>
        <w:t xml:space="preserve">Strahlenschutzbereiche sind bei diesen Tätigkeiten auch einzurichten, wenn zu erwarten ist, dass die nicht festhaftende, flächenspezifische Aktivität von Oberflächen in einem Bereich die Werte der Anlage 4 Tabelle 1 Spalte 5 überschreitet.</w:t>
      </w:r>
    </w:p>
    <w:p>
      <w:r>
        <w:t xml:space="preserve">(2) Strahlenschutzbereiche sind einzurichten als</w:t>
      </w:r>
    </w:p>
    <w:p>
      <w:pPr>
        <w:ind w:left="420"/>
      </w:pPr>
      <w:r>
        <w:t xml:space="preserve">1. Überwachungsbereich, wenn in betrieblichen Bereichen, die nicht zum Kontrollbereich gehören, Personen im Kalenderjahr eine effektive Dosis von mehr als 1 Millisievert oder eine Organ-Äquivalentdosis von mehr als 50 Millisievert für die Hände, die Unterarme, die Füße oder Knöchel oder eine lokale Hautdosis von mehr als 50 Millisievert erhalten können,</w:t>
      </w:r>
    </w:p>
    <w:p>
      <w:pPr>
        <w:ind w:left="420"/>
      </w:pPr>
      <w:r>
        <w:t xml:space="preserve">2. Kontrollbereich, wenn Personen im Kalenderjahr eine effektive Dosis von mehr als 6 Millisievert oder eine Organ-Äquivalentdosis von mehr als 15 Millisievert für die Augenlinse oder 150 Millisievert für die Hände, die Unterarme, die Füße oder Knöchel oder eine lokale Hautdosis von mehr als 150 Millisievert erhalten können, und</w:t>
      </w:r>
    </w:p>
    <w:p>
      <w:pPr>
        <w:ind w:left="420"/>
      </w:pPr>
      <w:r>
        <w:t xml:space="preserve">3. Sperrbereich, wenn in einem Bereich die Ortsdosisleistung höher als 3 Millisievert durch Stunde sein kann; ein Sperrbereich ist Teil des Kontrollbereichs.</w:t>
      </w:r>
    </w:p>
    <w:p>
      <w:r>
        <w:t xml:space="preserve">Maßgebend bei der Festlegung der Grenze von Kontrollbereich oder Überwachungsbereich ist eine Aufenthaltszeit von 40 Stunden je Woche und 50 Wochen im Kalenderjahr, soweit keine anderen begründeten Angaben über die Aufenthaltszeit vorliegen. Die zuständige Behörde kann bestimmen, dass weitere Bereiche als Strahlenschutzbereiche zu behandeln sind, wenn dies zum Schutz Einzelner oder der Allgemeinheit erforderlich ist. Satz 1 Nummer 3 findet keine Anwendung beim Betrieb von Röntgeneinrichtungen zum Zwecke der Untersuchung von Menschen und der Untersuchung von Tieren in der Tierheilkunde.</w:t>
      </w:r>
    </w:p>
    <w:p>
      <w:r>
        <w:t xml:space="preserve">(3) Bereiche, in denen nur Röntgeneinrichtungen oder Störstrahler betrieben werden, gelten nur während der Einschaltzeit als Strahlenschutzbereiche. Beim Betrieb von Anlagen zur Erzeugung ionisierender Strahlung oder Bestrahlungsvorrichtungen kann die zuständige Behörde zulassen, dass Bereiche nur während der Einschaltzeit dieser Anlagen oder Vorrichtungen als Kontrollbereiche oder Sperrbereiche gelten, wenn dadurch Einzelne oder die Allgemeinheit nicht gefährdet werden.</w:t>
      </w:r>
    </w:p>
    <w:p>
      <w:r>
        <w:rPr>
          <w:color w:val="555555"/>
          <w:sz w:val="17"/>
        </w:rPr>
        <w:t xml:space="preserve">Zitiervorschlag: § 52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