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51 StrlSchV 2018 — Anerkennung von Kursen</w:t>
      </w:r>
    </w:p>
    <w:p>
      <w:r>
        <w:rPr>
          <w:color w:val="555555"/>
          <w:sz w:val="18"/>
        </w:rPr>
        <w:t xml:space="preserve">Strahlenschutzverordnung</w:t>
      </w:r>
    </w:p>
    <w:p>
      <w:r>
        <w:rPr>
          <w:color w:val="555555"/>
          <w:sz w:val="18"/>
        </w:rPr>
        <w:t xml:space="preserve">Stand: 17.01.2024 (konsolidierte Textfassung, kein amtliches Inkrafttretensdatum)</w:t>
      </w:r>
    </w:p>
    <w:p>
      <w:r>
        <w:t xml:space="preserve">(1) Kurse nach § 47 Absatz 3, § 48 Absatz 1 Satz 1, § 49 Absatz 2 Satz 1 in Verbindung mit § 47 Absatz 3 und § 49 Absatz 3 in Verbindung mit § 48 Absatz 1 Satz 1 sind von der für den Sitz des Kursanbieters zuständigen Stelle anzuerkennen, wenn</w:t>
      </w:r>
    </w:p>
    <w:p>
      <w:pPr>
        <w:ind w:left="420"/>
      </w:pPr>
      <w:r>
        <w:t xml:space="preserve">1. die Kursinhalte geeignet sind, die für das jeweilige Anwendungsgebiet notwendigen Fertigkeiten und das notwendige Wissen im Strahlenschutz entsprechend § 47 Absatz 3 zu vermitteln,</w:t>
      </w:r>
    </w:p>
    <w:p>
      <w:pPr>
        <w:ind w:left="420"/>
      </w:pPr>
      <w:r>
        <w:t xml:space="preserve">2. die Qualifikation des Lehrpersonals, die verwendeten Lehrmaterialien, die Ausstattung der Kursstätte, soweit vorhanden, und das angewandte Kurskonzept eine ordnungsgemäße Wissensvermittlung gewährleisten und</w:t>
      </w:r>
    </w:p>
    <w:p>
      <w:pPr>
        <w:ind w:left="420"/>
      </w:pPr>
      <w:r>
        <w:t xml:space="preserve">3. eine Erfolgskontrolle stattfindet.</w:t>
      </w:r>
    </w:p>
    <w:p>
      <w:r>
        <w:t xml:space="preserve">(2) Der Kursanbieter hat die Behörde, in deren Zuständigkeitsbereich die Kursstätte liegt, über die Durchführung eines anerkannten Kurses mindestens vier Wochen vor dessen Beginn zu unterrichten und ihr eine Kopie des Anerkennungsbescheides zu übersenden. Ist keine Kursstätte vorhanden, so sind die Pflichten nach Satz 1 gegenüber der Behörde zu erfüllen, die für die Aufsicht am Sitz des Kursanbieters zuständig ist.</w:t>
      </w:r>
    </w:p>
    <w:p>
      <w:r>
        <w:rPr>
          <w:color w:val="555555"/>
          <w:sz w:val="17"/>
        </w:rPr>
        <w:t xml:space="preserve">Zitiervorschlag: § 51 StrlSchV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https://recht.nulegal.eu/gesetze/StrlSchV%202018/51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