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StrlSchV 2018 — Widerruf der Anerkennung der erforderlichen Fachkunde oder der erforderlichen Kenntnisse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zuständige Stelle kann die Anerkennung der erforderlichen Fachkunde oder der erforderlichen Kenntnisse im Strahlenschutz widerrufen oder deren Fortgeltung mit Auflagen versehen, wenn der Nachweis über Fortbildungsmaßnahmen nicht oder nicht vollständig vorgelegt wird oder eine Überprüfung nach Absatz 2 ergibt, dass die erforderliche Fachkunde oder die erforderlichen Kenntnisse im Strahlenschutz nicht oder nicht im erforderlichen Umfang vorhanden sind.</w:t>
      </w:r>
    </w:p>
    <w:p>
      <w:r>
        <w:t xml:space="preserve">(2) Bestehen begründete Zweifel an der erforderlichen Fachkunde oder an den erforderlichen Kenntnissen im Strahlenschutz, kann die zuständige Behörde eine Überprüfung der Fachkunde oder der Kenntnisse veranlassen.</w:t>
      </w:r>
    </w:p>
    <w:p>
      <w:r>
        <w:rPr>
          <w:color w:val="555555"/>
          <w:sz w:val="17"/>
        </w:rPr>
        <w:t xml:space="preserve">Zitiervorschlag: § 50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StrlSchV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