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StrlSchV 2018 — Erforderliche Kenntnisse im Strahlenschutz bei der Anwendung am Menschen und am Tier in der Tierheilkunde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23.04.2024 (konsolidierte Textfassung, kein amtliches Inkrafttretensdatum)</w:t>
      </w:r>
    </w:p>
    <w:p>
      <w:r>
        <w:t xml:space="preserve">(1) Folgende Personen haben die erforderlichen Kenntnisse im Strahlenschutz in der Regel nach § 74 Absatz 2 Satz 2 des Strahlenschutzgesetzes zu erwerben:</w:t>
      </w:r>
    </w:p>
    <w:p>
      <w:pPr>
        <w:ind w:left="420"/>
      </w:pPr>
      <w:r>
        <w:t xml:space="preserve">1. Ärzte oder Zahnärzte nach § 145 Absatz 1 Nummer 2,</w:t>
      </w:r>
    </w:p>
    <w:p>
      <w:pPr>
        <w:ind w:left="420"/>
      </w:pPr>
      <w:r>
        <w:t xml:space="preserve">2. Ärzte, die nach § 14 Absatz 2 Satz 1 Nummer 3 des Strahlenschutzgesetzes am Ort der technischen Durchführung der Teleradiologie anwesend sind,</w:t>
      </w:r>
    </w:p>
    <w:p>
      <w:pPr>
        <w:ind w:left="420"/>
      </w:pPr>
      <w:r>
        <w:t xml:space="preserve">3. Personen mit einer erfolgreich abgeschlossenen sonstigen medizinischen Ausbildung nach § 145 Absatz 2 Satz 1 Nummer 5,</w:t>
      </w:r>
    </w:p>
    <w:p>
      <w:pPr>
        <w:ind w:left="420"/>
      </w:pPr>
      <w:r>
        <w:t xml:space="preserve">4. Tierärzte nach § 146 Absatz 1 Nummer 2,</w:t>
      </w:r>
    </w:p>
    <w:p>
      <w:pPr>
        <w:ind w:left="420"/>
      </w:pPr>
      <w:r>
        <w:t xml:space="preserve">5. Personen nach § 146 Absatz 2 Satz 1 Nummer 5.</w:t>
      </w:r>
    </w:p>
    <w:p>
      <w:r>
        <w:t xml:space="preserve">(2) § 47 Absatz 1 bis 5 gilt entsprechend. Die zuständige Behörde kann auf Antrag eines Kursveranstalters zulassen, dass der Nachweis über den erfolgreichen Abschluss eines anerkannten Kurses die Bescheinigung über den Erwerb der erforderlichen Kenntnisse ersetzt.</w:t>
      </w:r>
    </w:p>
    <w:p>
      <w:r>
        <w:t xml:space="preserve">(3) Für die Aktualisierung der erforderlichen Kenntnisse im Strahlenschutz gilt § 48 entsprechend.</w:t>
      </w:r>
    </w:p>
    <w:p>
      <w:r>
        <w:rPr>
          <w:color w:val="555555"/>
          <w:sz w:val="17"/>
        </w:rPr>
        <w:t xml:space="preserve">Zitiervorschlag: § 49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